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655" w:type="dxa"/>
        <w:tblInd w:w="0" w:type="dxa"/>
        <w:shd w:val="clear" w:color="auto" w:fill="FFFFFF"/>
        <w:tblLayout w:type="autofit"/>
        <w:tblCellMar>
          <w:top w:w="0" w:type="dxa"/>
          <w:left w:w="0" w:type="dxa"/>
          <w:bottom w:w="0" w:type="dxa"/>
          <w:right w:w="0" w:type="dxa"/>
        </w:tblCellMar>
      </w:tblPr>
      <w:tblGrid>
        <w:gridCol w:w="900"/>
        <w:gridCol w:w="2700"/>
        <w:gridCol w:w="5055"/>
      </w:tblGrid>
      <w:tr>
        <w:tblPrEx>
          <w:shd w:val="clear" w:color="auto" w:fill="FFFFFF"/>
          <w:tblCellMar>
            <w:top w:w="0" w:type="dxa"/>
            <w:left w:w="0" w:type="dxa"/>
            <w:bottom w:w="0" w:type="dxa"/>
            <w:right w:w="0" w:type="dxa"/>
          </w:tblCellMar>
        </w:tblPrEx>
        <w:trPr>
          <w:trHeight w:val="660" w:hRule="atLeast"/>
        </w:trPr>
        <w:tc>
          <w:tcPr>
            <w:tcW w:w="8655" w:type="dxa"/>
            <w:gridSpan w:val="3"/>
            <w:tcBorders>
              <w:top w:val="nil"/>
              <w:left w:val="nil"/>
              <w:bottom w:val="nil"/>
              <w:right w:val="nil"/>
            </w:tcBorders>
            <w:shd w:val="clear" w:color="auto" w:fill="auto"/>
            <w:tcMar>
              <w:top w:w="0" w:type="dxa"/>
              <w:left w:w="105" w:type="dxa"/>
              <w:bottom w:w="0" w:type="dxa"/>
              <w:right w:w="105" w:type="dxa"/>
            </w:tcMar>
            <w:vAlign w:val="bottom"/>
          </w:tcPr>
          <w:p>
            <w:pPr>
              <w:widowControl/>
              <w:ind w:firstLine="15"/>
              <w:jc w:val="left"/>
              <w:rPr>
                <w:rFonts w:hint="eastAsia" w:ascii="微软雅黑" w:hAnsi="微软雅黑" w:eastAsia="微软雅黑" w:cs="宋体"/>
                <w:color w:val="000000"/>
                <w:kern w:val="0"/>
                <w:sz w:val="18"/>
                <w:szCs w:val="18"/>
              </w:rPr>
            </w:pPr>
            <w:r>
              <w:rPr>
                <w:rFonts w:hint="eastAsia" w:ascii="宋体" w:hAnsi="宋体" w:eastAsia="宋体" w:cs="宋体"/>
                <w:color w:val="000000"/>
                <w:kern w:val="0"/>
                <w:sz w:val="24"/>
                <w:szCs w:val="24"/>
              </w:rPr>
              <w:t>附件1</w:t>
            </w:r>
          </w:p>
          <w:p>
            <w:pPr>
              <w:widowControl/>
              <w:ind w:firstLine="15"/>
              <w:jc w:val="center"/>
              <w:rPr>
                <w:rFonts w:ascii="微软雅黑" w:hAnsi="微软雅黑" w:eastAsia="微软雅黑" w:cs="宋体"/>
                <w:color w:val="000000"/>
                <w:kern w:val="0"/>
                <w:sz w:val="18"/>
                <w:szCs w:val="18"/>
              </w:rPr>
            </w:pPr>
            <w:r>
              <w:rPr>
                <w:rFonts w:hint="eastAsia" w:ascii="宋体" w:hAnsi="宋体" w:eastAsia="宋体" w:cs="宋体"/>
                <w:b/>
                <w:bCs/>
                <w:color w:val="000000"/>
                <w:kern w:val="0"/>
                <w:sz w:val="29"/>
              </w:rPr>
              <w:t>浙江省省级预算单位公务卡强制结算目录</w:t>
            </w:r>
          </w:p>
        </w:tc>
      </w:tr>
      <w:tr>
        <w:tblPrEx>
          <w:shd w:val="clear" w:color="auto" w:fill="FFFFFF"/>
          <w:tblCellMar>
            <w:top w:w="0" w:type="dxa"/>
            <w:left w:w="0" w:type="dxa"/>
            <w:bottom w:w="0" w:type="dxa"/>
            <w:right w:w="0" w:type="dxa"/>
          </w:tblCellMar>
        </w:tblPrEx>
        <w:trPr>
          <w:trHeight w:val="375" w:hRule="atLeast"/>
        </w:trPr>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center"/>
              <w:rPr>
                <w:rFonts w:ascii="微软雅黑" w:hAnsi="微软雅黑" w:eastAsia="微软雅黑" w:cs="宋体"/>
                <w:color w:val="000000"/>
                <w:kern w:val="0"/>
                <w:sz w:val="18"/>
                <w:szCs w:val="18"/>
              </w:rPr>
            </w:pPr>
            <w:r>
              <w:rPr>
                <w:rFonts w:hint="eastAsia" w:ascii="宋体" w:hAnsi="宋体" w:eastAsia="宋体" w:cs="宋体"/>
                <w:b/>
                <w:bCs/>
                <w:color w:val="000000"/>
                <w:kern w:val="0"/>
                <w:sz w:val="24"/>
                <w:szCs w:val="24"/>
              </w:rPr>
              <w:t>序号</w:t>
            </w:r>
          </w:p>
        </w:tc>
        <w:tc>
          <w:tcPr>
            <w:tcW w:w="27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b/>
                <w:bCs/>
                <w:color w:val="000000"/>
                <w:kern w:val="0"/>
                <w:sz w:val="24"/>
                <w:szCs w:val="24"/>
              </w:rPr>
              <w:t>公务卡结算项目</w:t>
            </w:r>
          </w:p>
        </w:tc>
        <w:tc>
          <w:tcPr>
            <w:tcW w:w="505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b/>
                <w:bCs/>
                <w:color w:val="000000"/>
                <w:kern w:val="0"/>
                <w:sz w:val="24"/>
                <w:szCs w:val="24"/>
              </w:rPr>
              <w:t>备      注</w:t>
            </w:r>
          </w:p>
        </w:tc>
      </w:tr>
      <w:tr>
        <w:tblPrEx>
          <w:tblCellMar>
            <w:top w:w="0" w:type="dxa"/>
            <w:left w:w="0" w:type="dxa"/>
            <w:bottom w:w="0" w:type="dxa"/>
            <w:right w:w="0" w:type="dxa"/>
          </w:tblCellMar>
        </w:tblPrEx>
        <w:trPr>
          <w:trHeight w:val="540" w:hRule="atLeast"/>
        </w:trPr>
        <w:tc>
          <w:tcPr>
            <w:tcW w:w="90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center"/>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1</w:t>
            </w:r>
          </w:p>
        </w:tc>
        <w:tc>
          <w:tcPr>
            <w:tcW w:w="27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办公费</w:t>
            </w:r>
          </w:p>
        </w:tc>
        <w:tc>
          <w:tcPr>
            <w:tcW w:w="50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指单位购买按财务会计制度规定不符合固定资产确认标准的日用办公用品、书报杂志等支出。</w:t>
            </w:r>
          </w:p>
        </w:tc>
      </w:tr>
      <w:tr>
        <w:tblPrEx>
          <w:tblCellMar>
            <w:top w:w="0" w:type="dxa"/>
            <w:left w:w="0" w:type="dxa"/>
            <w:bottom w:w="0" w:type="dxa"/>
            <w:right w:w="0" w:type="dxa"/>
          </w:tblCellMar>
        </w:tblPrEx>
        <w:trPr>
          <w:trHeight w:val="375" w:hRule="atLeast"/>
        </w:trPr>
        <w:tc>
          <w:tcPr>
            <w:tcW w:w="90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center"/>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2</w:t>
            </w:r>
          </w:p>
        </w:tc>
        <w:tc>
          <w:tcPr>
            <w:tcW w:w="27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印刷费</w:t>
            </w:r>
          </w:p>
        </w:tc>
        <w:tc>
          <w:tcPr>
            <w:tcW w:w="50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指单位的印刷费支出。</w:t>
            </w:r>
          </w:p>
        </w:tc>
      </w:tr>
      <w:tr>
        <w:tblPrEx>
          <w:tblCellMar>
            <w:top w:w="0" w:type="dxa"/>
            <w:left w:w="0" w:type="dxa"/>
            <w:bottom w:w="0" w:type="dxa"/>
            <w:right w:w="0" w:type="dxa"/>
          </w:tblCellMar>
        </w:tblPrEx>
        <w:trPr>
          <w:trHeight w:val="375" w:hRule="atLeast"/>
        </w:trPr>
        <w:tc>
          <w:tcPr>
            <w:tcW w:w="90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center"/>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3</w:t>
            </w:r>
          </w:p>
        </w:tc>
        <w:tc>
          <w:tcPr>
            <w:tcW w:w="27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咨询费</w:t>
            </w:r>
          </w:p>
        </w:tc>
        <w:tc>
          <w:tcPr>
            <w:tcW w:w="50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指单位咨询方面的支出。</w:t>
            </w:r>
          </w:p>
        </w:tc>
      </w:tr>
      <w:tr>
        <w:tblPrEx>
          <w:tblCellMar>
            <w:top w:w="0" w:type="dxa"/>
            <w:left w:w="0" w:type="dxa"/>
            <w:bottom w:w="0" w:type="dxa"/>
            <w:right w:w="0" w:type="dxa"/>
          </w:tblCellMar>
        </w:tblPrEx>
        <w:trPr>
          <w:trHeight w:val="585" w:hRule="atLeast"/>
        </w:trPr>
        <w:tc>
          <w:tcPr>
            <w:tcW w:w="90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center"/>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4</w:t>
            </w:r>
          </w:p>
        </w:tc>
        <w:tc>
          <w:tcPr>
            <w:tcW w:w="27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差旅费</w:t>
            </w:r>
          </w:p>
        </w:tc>
        <w:tc>
          <w:tcPr>
            <w:tcW w:w="50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指单位工作人员因出差支付的住宿费、旅费、公杂费、伙食补助费等。</w:t>
            </w:r>
          </w:p>
        </w:tc>
      </w:tr>
      <w:tr>
        <w:tblPrEx>
          <w:tblCellMar>
            <w:top w:w="0" w:type="dxa"/>
            <w:left w:w="0" w:type="dxa"/>
            <w:bottom w:w="0" w:type="dxa"/>
            <w:right w:w="0" w:type="dxa"/>
          </w:tblCellMar>
        </w:tblPrEx>
        <w:trPr>
          <w:trHeight w:val="690" w:hRule="atLeast"/>
        </w:trPr>
        <w:tc>
          <w:tcPr>
            <w:tcW w:w="90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center"/>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5</w:t>
            </w:r>
          </w:p>
        </w:tc>
        <w:tc>
          <w:tcPr>
            <w:tcW w:w="27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维修（护）费</w:t>
            </w:r>
          </w:p>
        </w:tc>
        <w:tc>
          <w:tcPr>
            <w:tcW w:w="50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指单位日常开支的固定资产（不包括车船等交通工具）修理和维护费用，网络信息系统运行与维护费用。</w:t>
            </w:r>
          </w:p>
        </w:tc>
      </w:tr>
      <w:tr>
        <w:tblPrEx>
          <w:tblCellMar>
            <w:top w:w="0" w:type="dxa"/>
            <w:left w:w="0" w:type="dxa"/>
            <w:bottom w:w="0" w:type="dxa"/>
            <w:right w:w="0" w:type="dxa"/>
          </w:tblCellMar>
        </w:tblPrEx>
        <w:trPr>
          <w:trHeight w:val="585" w:hRule="atLeast"/>
        </w:trPr>
        <w:tc>
          <w:tcPr>
            <w:tcW w:w="90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center"/>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6</w:t>
            </w:r>
          </w:p>
        </w:tc>
        <w:tc>
          <w:tcPr>
            <w:tcW w:w="27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租赁费</w:t>
            </w:r>
          </w:p>
        </w:tc>
        <w:tc>
          <w:tcPr>
            <w:tcW w:w="50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指租赁办公用房、宿舍、专用通讯网以及其他设备方面的费用。</w:t>
            </w:r>
          </w:p>
        </w:tc>
      </w:tr>
      <w:tr>
        <w:tblPrEx>
          <w:tblCellMar>
            <w:top w:w="0" w:type="dxa"/>
            <w:left w:w="0" w:type="dxa"/>
            <w:bottom w:w="0" w:type="dxa"/>
            <w:right w:w="0" w:type="dxa"/>
          </w:tblCellMar>
        </w:tblPrEx>
        <w:trPr>
          <w:trHeight w:val="495" w:hRule="atLeast"/>
        </w:trPr>
        <w:tc>
          <w:tcPr>
            <w:tcW w:w="90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center"/>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7</w:t>
            </w:r>
          </w:p>
        </w:tc>
        <w:tc>
          <w:tcPr>
            <w:tcW w:w="27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会议费</w:t>
            </w:r>
          </w:p>
        </w:tc>
        <w:tc>
          <w:tcPr>
            <w:tcW w:w="50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指会议中按规定开支的房租费、文件资料的印刷费、会议场地租用费等。</w:t>
            </w:r>
          </w:p>
        </w:tc>
      </w:tr>
      <w:tr>
        <w:tblPrEx>
          <w:tblCellMar>
            <w:top w:w="0" w:type="dxa"/>
            <w:left w:w="0" w:type="dxa"/>
            <w:bottom w:w="0" w:type="dxa"/>
            <w:right w:w="0" w:type="dxa"/>
          </w:tblCellMar>
        </w:tblPrEx>
        <w:trPr>
          <w:trHeight w:val="360" w:hRule="atLeast"/>
        </w:trPr>
        <w:tc>
          <w:tcPr>
            <w:tcW w:w="90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center"/>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8</w:t>
            </w:r>
          </w:p>
        </w:tc>
        <w:tc>
          <w:tcPr>
            <w:tcW w:w="27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培训费</w:t>
            </w:r>
          </w:p>
        </w:tc>
        <w:tc>
          <w:tcPr>
            <w:tcW w:w="50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指各类培训支出。</w:t>
            </w:r>
          </w:p>
        </w:tc>
      </w:tr>
      <w:tr>
        <w:tblPrEx>
          <w:tblCellMar>
            <w:top w:w="0" w:type="dxa"/>
            <w:left w:w="0" w:type="dxa"/>
            <w:bottom w:w="0" w:type="dxa"/>
            <w:right w:w="0" w:type="dxa"/>
          </w:tblCellMar>
        </w:tblPrEx>
        <w:trPr>
          <w:trHeight w:val="375" w:hRule="atLeast"/>
        </w:trPr>
        <w:tc>
          <w:tcPr>
            <w:tcW w:w="90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center"/>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9</w:t>
            </w:r>
          </w:p>
        </w:tc>
        <w:tc>
          <w:tcPr>
            <w:tcW w:w="27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公务接待费</w:t>
            </w:r>
          </w:p>
        </w:tc>
        <w:tc>
          <w:tcPr>
            <w:tcW w:w="50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指单位按规定开支的各类公务接待（含外宾接待）费用。</w:t>
            </w:r>
          </w:p>
        </w:tc>
      </w:tr>
      <w:tr>
        <w:tblPrEx>
          <w:tblCellMar>
            <w:top w:w="0" w:type="dxa"/>
            <w:left w:w="0" w:type="dxa"/>
            <w:bottom w:w="0" w:type="dxa"/>
            <w:right w:w="0" w:type="dxa"/>
          </w:tblCellMar>
        </w:tblPrEx>
        <w:trPr>
          <w:trHeight w:val="375" w:hRule="atLeast"/>
        </w:trPr>
        <w:tc>
          <w:tcPr>
            <w:tcW w:w="90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center"/>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10</w:t>
            </w:r>
          </w:p>
        </w:tc>
        <w:tc>
          <w:tcPr>
            <w:tcW w:w="27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专用材料费</w:t>
            </w:r>
          </w:p>
        </w:tc>
        <w:tc>
          <w:tcPr>
            <w:tcW w:w="50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指单位购买日常专用材料的支出。</w:t>
            </w:r>
          </w:p>
        </w:tc>
      </w:tr>
      <w:tr>
        <w:tblPrEx>
          <w:tblCellMar>
            <w:top w:w="0" w:type="dxa"/>
            <w:left w:w="0" w:type="dxa"/>
            <w:bottom w:w="0" w:type="dxa"/>
            <w:right w:w="0" w:type="dxa"/>
          </w:tblCellMar>
        </w:tblPrEx>
        <w:trPr>
          <w:trHeight w:val="735" w:hRule="atLeast"/>
        </w:trPr>
        <w:tc>
          <w:tcPr>
            <w:tcW w:w="90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center"/>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11</w:t>
            </w:r>
          </w:p>
        </w:tc>
        <w:tc>
          <w:tcPr>
            <w:tcW w:w="27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物业管理费</w:t>
            </w:r>
          </w:p>
        </w:tc>
        <w:tc>
          <w:tcPr>
            <w:tcW w:w="50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指单位开支的办公用房、职工及离退休人员宿舍等物业管理费，包括综合治理、绿化、卫生等方面。</w:t>
            </w:r>
          </w:p>
        </w:tc>
      </w:tr>
      <w:tr>
        <w:tblPrEx>
          <w:tblCellMar>
            <w:top w:w="0" w:type="dxa"/>
            <w:left w:w="0" w:type="dxa"/>
            <w:bottom w:w="0" w:type="dxa"/>
            <w:right w:w="0" w:type="dxa"/>
          </w:tblCellMar>
        </w:tblPrEx>
        <w:trPr>
          <w:trHeight w:val="375" w:hRule="atLeast"/>
        </w:trPr>
        <w:tc>
          <w:tcPr>
            <w:tcW w:w="90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center"/>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12</w:t>
            </w:r>
          </w:p>
        </w:tc>
        <w:tc>
          <w:tcPr>
            <w:tcW w:w="27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手续费</w:t>
            </w:r>
          </w:p>
        </w:tc>
        <w:tc>
          <w:tcPr>
            <w:tcW w:w="50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指单位支付的手续费支出。</w:t>
            </w:r>
          </w:p>
        </w:tc>
      </w:tr>
      <w:tr>
        <w:tblPrEx>
          <w:tblCellMar>
            <w:top w:w="0" w:type="dxa"/>
            <w:left w:w="0" w:type="dxa"/>
            <w:bottom w:w="0" w:type="dxa"/>
            <w:right w:w="0" w:type="dxa"/>
          </w:tblCellMar>
        </w:tblPrEx>
        <w:trPr>
          <w:trHeight w:val="375" w:hRule="atLeast"/>
        </w:trPr>
        <w:tc>
          <w:tcPr>
            <w:tcW w:w="90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center"/>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13</w:t>
            </w:r>
          </w:p>
        </w:tc>
        <w:tc>
          <w:tcPr>
            <w:tcW w:w="27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水电费</w:t>
            </w:r>
          </w:p>
        </w:tc>
        <w:tc>
          <w:tcPr>
            <w:tcW w:w="50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指单位支付的水电费。</w:t>
            </w:r>
          </w:p>
        </w:tc>
      </w:tr>
      <w:tr>
        <w:tblPrEx>
          <w:tblCellMar>
            <w:top w:w="0" w:type="dxa"/>
            <w:left w:w="0" w:type="dxa"/>
            <w:bottom w:w="0" w:type="dxa"/>
            <w:right w:w="0" w:type="dxa"/>
          </w:tblCellMar>
        </w:tblPrEx>
        <w:trPr>
          <w:trHeight w:val="720" w:hRule="atLeast"/>
        </w:trPr>
        <w:tc>
          <w:tcPr>
            <w:tcW w:w="90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center"/>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14</w:t>
            </w:r>
          </w:p>
        </w:tc>
        <w:tc>
          <w:tcPr>
            <w:tcW w:w="27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邮电费</w:t>
            </w:r>
          </w:p>
        </w:tc>
        <w:tc>
          <w:tcPr>
            <w:tcW w:w="50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指单位开支的电话费、电报费、传真费、网络通讯费等支出。</w:t>
            </w:r>
          </w:p>
        </w:tc>
      </w:tr>
      <w:tr>
        <w:tblPrEx>
          <w:tblCellMar>
            <w:top w:w="0" w:type="dxa"/>
            <w:left w:w="0" w:type="dxa"/>
            <w:bottom w:w="0" w:type="dxa"/>
            <w:right w:w="0" w:type="dxa"/>
          </w:tblCellMar>
        </w:tblPrEx>
        <w:trPr>
          <w:trHeight w:val="375" w:hRule="atLeast"/>
        </w:trPr>
        <w:tc>
          <w:tcPr>
            <w:tcW w:w="90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center"/>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15</w:t>
            </w:r>
          </w:p>
        </w:tc>
        <w:tc>
          <w:tcPr>
            <w:tcW w:w="27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公务用车运行维护费</w:t>
            </w:r>
          </w:p>
        </w:tc>
        <w:tc>
          <w:tcPr>
            <w:tcW w:w="50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指公务用车的燃料费、维修费、保险费等支出。</w:t>
            </w:r>
          </w:p>
        </w:tc>
      </w:tr>
      <w:tr>
        <w:tblPrEx>
          <w:tblCellMar>
            <w:top w:w="0" w:type="dxa"/>
            <w:left w:w="0" w:type="dxa"/>
            <w:bottom w:w="0" w:type="dxa"/>
            <w:right w:w="0" w:type="dxa"/>
          </w:tblCellMar>
        </w:tblPrEx>
        <w:trPr>
          <w:trHeight w:val="900" w:hRule="atLeast"/>
        </w:trPr>
        <w:tc>
          <w:tcPr>
            <w:tcW w:w="90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center"/>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16</w:t>
            </w:r>
          </w:p>
        </w:tc>
        <w:tc>
          <w:tcPr>
            <w:tcW w:w="27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其他交通费用</w:t>
            </w:r>
          </w:p>
        </w:tc>
        <w:tc>
          <w:tcPr>
            <w:tcW w:w="50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24"/>
                <w:szCs w:val="24"/>
              </w:rPr>
              <w:t>指单位除公务用车维护费以外的其他交通费用。如飞机、船舶等地燃料费、维修费、保险费等。</w:t>
            </w:r>
          </w:p>
        </w:tc>
      </w:tr>
      <w:tr>
        <w:tblPrEx>
          <w:tblCellMar>
            <w:top w:w="0" w:type="dxa"/>
            <w:left w:w="0" w:type="dxa"/>
            <w:bottom w:w="0" w:type="dxa"/>
            <w:right w:w="0" w:type="dxa"/>
          </w:tblCellMar>
        </w:tblPrEx>
        <w:trPr>
          <w:trHeight w:val="855" w:hRule="atLeast"/>
        </w:trPr>
        <w:tc>
          <w:tcPr>
            <w:tcW w:w="8655" w:type="dxa"/>
            <w:gridSpan w:val="3"/>
            <w:tcBorders>
              <w:top w:val="nil"/>
              <w:left w:val="nil"/>
              <w:bottom w:val="nil"/>
              <w:right w:val="nil"/>
            </w:tcBorders>
            <w:shd w:val="clear" w:color="auto" w:fill="auto"/>
            <w:tcMar>
              <w:top w:w="0" w:type="dxa"/>
              <w:left w:w="105" w:type="dxa"/>
              <w:bottom w:w="0" w:type="dxa"/>
              <w:right w:w="105" w:type="dxa"/>
            </w:tcMar>
            <w:vAlign w:val="bottom"/>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18"/>
                <w:szCs w:val="18"/>
              </w:rPr>
              <w:t>备注：1、以上目录已办理政府采购手续的，采购确认书认定的支付方式</w:t>
            </w:r>
            <w:r>
              <w:rPr>
                <w:rFonts w:hint="eastAsia" w:ascii="宋体" w:hAnsi="宋体" w:eastAsia="宋体" w:cs="宋体"/>
                <w:color w:val="000000"/>
                <w:kern w:val="0"/>
                <w:sz w:val="18"/>
                <w:szCs w:val="18"/>
                <w:lang w:eastAsia="zh-CN"/>
              </w:rPr>
              <w:t>办理</w:t>
            </w:r>
            <w:r>
              <w:rPr>
                <w:rFonts w:hint="eastAsia" w:ascii="宋体" w:hAnsi="宋体" w:eastAsia="宋体" w:cs="宋体"/>
                <w:color w:val="000000"/>
                <w:kern w:val="0"/>
                <w:sz w:val="18"/>
                <w:szCs w:val="18"/>
              </w:rPr>
              <w:t>结算。</w:t>
            </w:r>
          </w:p>
        </w:tc>
      </w:tr>
      <w:tr>
        <w:tblPrEx>
          <w:tblCellMar>
            <w:top w:w="0" w:type="dxa"/>
            <w:left w:w="0" w:type="dxa"/>
            <w:bottom w:w="0" w:type="dxa"/>
            <w:right w:w="0" w:type="dxa"/>
          </w:tblCellMar>
        </w:tblPrEx>
        <w:trPr>
          <w:trHeight w:val="285" w:hRule="atLeast"/>
        </w:trPr>
        <w:tc>
          <w:tcPr>
            <w:tcW w:w="8655" w:type="dxa"/>
            <w:gridSpan w:val="3"/>
            <w:tcBorders>
              <w:top w:val="nil"/>
              <w:left w:val="nil"/>
              <w:bottom w:val="nil"/>
              <w:right w:val="nil"/>
            </w:tcBorders>
            <w:shd w:val="clear" w:color="auto" w:fill="auto"/>
            <w:tcMar>
              <w:top w:w="0" w:type="dxa"/>
              <w:left w:w="105" w:type="dxa"/>
              <w:bottom w:w="0" w:type="dxa"/>
              <w:right w:w="105" w:type="dxa"/>
            </w:tcMar>
            <w:vAlign w:val="bottom"/>
          </w:tcPr>
          <w:p>
            <w:pPr>
              <w:widowControl/>
              <w:spacing w:line="300" w:lineRule="atLeast"/>
              <w:ind w:firstLine="15"/>
              <w:jc w:val="left"/>
              <w:rPr>
                <w:rFonts w:ascii="微软雅黑" w:hAnsi="微软雅黑" w:eastAsia="微软雅黑" w:cs="宋体"/>
                <w:color w:val="000000"/>
                <w:kern w:val="0"/>
                <w:sz w:val="18"/>
                <w:szCs w:val="18"/>
              </w:rPr>
            </w:pPr>
            <w:r>
              <w:rPr>
                <w:rFonts w:hint="eastAsia" w:ascii="宋体" w:hAnsi="宋体" w:eastAsia="宋体" w:cs="宋体"/>
                <w:color w:val="000000"/>
                <w:kern w:val="0"/>
                <w:sz w:val="18"/>
                <w:szCs w:val="18"/>
              </w:rPr>
              <w:t>2、已办理托收手续的水电费、邮电费、手续费、过路过桥费等支出除外。</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C5"/>
    <w:rsid w:val="00BE37C5"/>
    <w:rsid w:val="00E326AF"/>
    <w:rsid w:val="2C172423"/>
    <w:rsid w:val="6A9F7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585</Characters>
  <Lines>4</Lines>
  <Paragraphs>1</Paragraphs>
  <TotalTime>4</TotalTime>
  <ScaleCrop>false</ScaleCrop>
  <LinksUpToDate>false</LinksUpToDate>
  <CharactersWithSpaces>686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2020-07-01T05:32:00Z</dcterms:created>
  <dc:creator>张稀</dc:creator>
  <cp:lastModifiedBy>罗金明</cp:lastModifiedBy>
  <dcterms:modified xsi:type="dcterms:W3CDTF">2021-07-14T07:54:05Z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8E24BB21BBDD4AEF9A331FEF1FA24A64</vt:lpwstr>
  </property>
</Properties>
</file>