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黑体" w:eastAsia="方正小标宋简体"/>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黑体" w:eastAsia="方正小标宋简体"/>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黑体" w:eastAsia="方正小标宋简体"/>
          <w:sz w:val="52"/>
          <w:szCs w:val="52"/>
          <w:lang w:eastAsia="zh-CN"/>
        </w:rPr>
      </w:pPr>
      <w:r>
        <w:rPr>
          <w:rFonts w:hint="eastAsia" w:ascii="方正小标宋简体" w:hAnsi="黑体" w:eastAsia="方正小标宋简体"/>
          <w:sz w:val="72"/>
          <w:szCs w:val="72"/>
          <w:lang w:eastAsia="zh-CN"/>
        </w:rPr>
        <w:t>“潮起钱塘·青春智‘荟’”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黑体" w:eastAsia="方正小标宋简体"/>
          <w:sz w:val="56"/>
          <w:szCs w:val="56"/>
          <w:lang w:eastAsia="zh-CN"/>
        </w:rPr>
      </w:pPr>
      <w:r>
        <w:rPr>
          <w:rFonts w:hint="eastAsia" w:ascii="方正小标宋简体" w:hAnsi="黑体" w:eastAsia="方正小标宋简体"/>
          <w:sz w:val="56"/>
          <w:szCs w:val="56"/>
          <w:lang w:eastAsia="zh-CN"/>
        </w:rPr>
        <w:t>高校学生模拟政协提案大赛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96"/>
          <w:szCs w:val="9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96"/>
          <w:szCs w:val="96"/>
          <w:lang w:eastAsia="zh-CN"/>
        </w:rPr>
      </w:pPr>
      <w:r>
        <w:rPr>
          <w:rFonts w:hint="eastAsia" w:ascii="方正小标宋简体" w:hAnsi="方正小标宋简体" w:eastAsia="方正小标宋简体" w:cs="方正小标宋简体"/>
          <w:sz w:val="96"/>
          <w:szCs w:val="96"/>
          <w:lang w:eastAsia="zh-CN"/>
        </w:rPr>
        <w:t>资料汇编</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40"/>
          <w:szCs w:val="40"/>
          <w:lang w:val="en-US" w:eastAsia="zh-CN"/>
        </w:rPr>
      </w:pPr>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lang w:val="en-US" w:eastAsia="zh-CN"/>
        </w:rPr>
        <w:t>2023年5月）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val="en-US" w:eastAsia="zh-CN"/>
        </w:rPr>
        <w:t>1.钱</w:t>
      </w:r>
      <w:r>
        <w:rPr>
          <w:rFonts w:hint="eastAsia" w:ascii="仿宋_GB2312" w:hAnsi="仿宋_GB2312" w:eastAsia="仿宋_GB2312" w:cs="仿宋_GB2312"/>
          <w:bCs w:val="0"/>
          <w:spacing w:val="6"/>
          <w:w w:val="95"/>
          <w:sz w:val="32"/>
          <w:szCs w:val="32"/>
          <w:lang w:eastAsia="zh-Hans"/>
        </w:rPr>
        <w:t>塘新区（钱塘区）</w:t>
      </w:r>
      <w:r>
        <w:rPr>
          <w:rFonts w:hint="eastAsia" w:ascii="仿宋_GB2312" w:hAnsi="仿宋_GB2312" w:eastAsia="仿宋_GB2312" w:cs="仿宋_GB2312"/>
          <w:bCs w:val="0"/>
          <w:spacing w:val="6"/>
          <w:w w:val="95"/>
          <w:sz w:val="32"/>
          <w:szCs w:val="32"/>
        </w:rPr>
        <w:t>区情概况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_Toc26511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eastAsia="zh-Hans"/>
        </w:rPr>
        <w:t>政府工作报告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val="en-US" w:eastAsia="zh-CN"/>
        </w:rPr>
        <w:t>“潮起钱塘·青春智‘荟’”高校学生模拟政协提案大赛选题参考方向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_Toc7208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eastAsia="zh-CN"/>
        </w:rPr>
        <w:t>政协与提案常识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_Toc7208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pacing w:val="6"/>
          <w:w w:val="95"/>
          <w:sz w:val="32"/>
          <w:szCs w:val="32"/>
          <w:lang w:val="en-US" w:eastAsia="zh-CN"/>
        </w:rPr>
        <w:t>5.提案参考一：</w:t>
      </w:r>
      <w:r>
        <w:rPr>
          <w:rFonts w:hint="eastAsia" w:ascii="仿宋_GB2312" w:hAnsi="仿宋_GB2312" w:eastAsia="仿宋_GB2312" w:cs="仿宋_GB2312"/>
          <w:bCs w:val="0"/>
          <w:spacing w:val="6"/>
          <w:w w:val="95"/>
          <w:sz w:val="32"/>
          <w:szCs w:val="32"/>
          <w:lang w:val="en-US" w:eastAsia="zh-CN"/>
        </w:rPr>
        <w:fldChar w:fldCharType="begin"/>
      </w:r>
      <w:r>
        <w:rPr>
          <w:rFonts w:hint="eastAsia" w:ascii="仿宋_GB2312" w:hAnsi="仿宋_GB2312" w:eastAsia="仿宋_GB2312" w:cs="仿宋_GB2312"/>
          <w:bCs w:val="0"/>
          <w:spacing w:val="6"/>
          <w:w w:val="95"/>
          <w:sz w:val="32"/>
          <w:szCs w:val="32"/>
          <w:lang w:val="en-US" w:eastAsia="zh-CN"/>
        </w:rPr>
        <w:instrText xml:space="preserve"> HYPERLINK \l _Toc28817 </w:instrText>
      </w:r>
      <w:r>
        <w:rPr>
          <w:rFonts w:hint="eastAsia" w:ascii="仿宋_GB2312" w:hAnsi="仿宋_GB2312" w:eastAsia="仿宋_GB2312" w:cs="仿宋_GB2312"/>
          <w:bCs w:val="0"/>
          <w:spacing w:val="6"/>
          <w:w w:val="95"/>
          <w:sz w:val="32"/>
          <w:szCs w:val="32"/>
          <w:lang w:val="en-US" w:eastAsia="zh-CN"/>
        </w:rPr>
        <w:fldChar w:fldCharType="separate"/>
      </w:r>
      <w:r>
        <w:rPr>
          <w:rFonts w:hint="eastAsia" w:ascii="仿宋_GB2312" w:hAnsi="仿宋_GB2312" w:eastAsia="仿宋_GB2312" w:cs="仿宋_GB2312"/>
          <w:bCs w:val="0"/>
          <w:spacing w:val="6"/>
          <w:w w:val="95"/>
          <w:sz w:val="32"/>
          <w:szCs w:val="32"/>
          <w:lang w:val="en-US" w:eastAsia="zh-CN"/>
        </w:rPr>
        <w:t>关于加快推进钱塘区公园绿地建设迎接亚运会召开的建议</w:t>
      </w:r>
      <w:r>
        <w:rPr>
          <w:rFonts w:hint="eastAsia" w:ascii="仿宋_GB2312" w:hAnsi="仿宋_GB2312" w:eastAsia="仿宋_GB2312" w:cs="仿宋_GB2312"/>
          <w:bCs w:val="0"/>
          <w:spacing w:val="6"/>
          <w:w w:val="95"/>
          <w:sz w:val="32"/>
          <w:szCs w:val="32"/>
          <w:lang w:val="en-US" w:eastAsia="zh-CN"/>
        </w:rPr>
        <w:tab/>
      </w:r>
      <w:r>
        <w:rPr>
          <w:rFonts w:hint="eastAsia" w:ascii="仿宋_GB2312" w:hAnsi="仿宋_GB2312" w:eastAsia="仿宋_GB2312" w:cs="仿宋_GB2312"/>
          <w:bCs w:val="0"/>
          <w:spacing w:val="6"/>
          <w:w w:val="95"/>
          <w:sz w:val="32"/>
          <w:szCs w:val="32"/>
          <w:lang w:val="en-US" w:eastAsia="zh-CN"/>
        </w:rPr>
        <w:fldChar w:fldCharType="begin"/>
      </w:r>
      <w:r>
        <w:rPr>
          <w:rFonts w:hint="eastAsia" w:ascii="仿宋_GB2312" w:hAnsi="仿宋_GB2312" w:eastAsia="仿宋_GB2312" w:cs="仿宋_GB2312"/>
          <w:bCs w:val="0"/>
          <w:spacing w:val="6"/>
          <w:w w:val="95"/>
          <w:sz w:val="32"/>
          <w:szCs w:val="32"/>
          <w:lang w:val="en-US" w:eastAsia="zh-CN"/>
        </w:rPr>
        <w:instrText xml:space="preserve"> PAGEREF _Toc28817 \h </w:instrText>
      </w:r>
      <w:r>
        <w:rPr>
          <w:rFonts w:hint="eastAsia" w:ascii="仿宋_GB2312" w:hAnsi="仿宋_GB2312" w:eastAsia="仿宋_GB2312" w:cs="仿宋_GB2312"/>
          <w:bCs w:val="0"/>
          <w:spacing w:val="6"/>
          <w:w w:val="95"/>
          <w:sz w:val="32"/>
          <w:szCs w:val="32"/>
          <w:lang w:val="en-US" w:eastAsia="zh-CN"/>
        </w:rPr>
        <w:fldChar w:fldCharType="separate"/>
      </w:r>
      <w:r>
        <w:rPr>
          <w:rFonts w:hint="eastAsia" w:ascii="仿宋_GB2312" w:hAnsi="仿宋_GB2312" w:eastAsia="仿宋_GB2312" w:cs="仿宋_GB2312"/>
          <w:bCs w:val="0"/>
          <w:spacing w:val="6"/>
          <w:w w:val="95"/>
          <w:sz w:val="32"/>
          <w:szCs w:val="32"/>
          <w:lang w:val="en-US" w:eastAsia="zh-CN"/>
        </w:rPr>
        <w:t>38</w:t>
      </w:r>
      <w:r>
        <w:rPr>
          <w:rFonts w:hint="eastAsia" w:ascii="仿宋_GB2312" w:hAnsi="仿宋_GB2312" w:eastAsia="仿宋_GB2312" w:cs="仿宋_GB2312"/>
          <w:bCs w:val="0"/>
          <w:spacing w:val="6"/>
          <w:w w:val="95"/>
          <w:sz w:val="32"/>
          <w:szCs w:val="32"/>
          <w:lang w:val="en-US" w:eastAsia="zh-CN"/>
        </w:rPr>
        <w:fldChar w:fldCharType="end"/>
      </w:r>
      <w:r>
        <w:rPr>
          <w:rFonts w:hint="eastAsia" w:ascii="仿宋_GB2312" w:hAnsi="仿宋_GB2312" w:eastAsia="仿宋_GB2312" w:cs="仿宋_GB2312"/>
          <w:bCs w:val="0"/>
          <w:spacing w:val="6"/>
          <w:w w:val="95"/>
          <w:sz w:val="32"/>
          <w:szCs w:val="32"/>
          <w:lang w:val="en-US" w:eastAsia="zh-CN"/>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pacing w:val="6"/>
          <w:w w:val="95"/>
          <w:sz w:val="32"/>
          <w:szCs w:val="32"/>
          <w:lang w:val="en-US" w:eastAsia="zh-CN"/>
        </w:rPr>
        <w:t>6.提案参考二：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eastAsia="zh-Hans"/>
        </w:rPr>
        <w:t>关于加强外卖小哥权益保障的建议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w w:val="95"/>
          <w:sz w:val="32"/>
          <w:szCs w:val="32"/>
          <w:lang w:val="en-US" w:eastAsia="zh-CN"/>
        </w:rPr>
        <w:t>钱塘区各单位分管领导、联系人名单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r>
        <w:rPr>
          <w:rFonts w:hint="eastAsia" w:ascii="仿宋_GB2312" w:hAnsi="仿宋_GB2312" w:eastAsia="仿宋_GB2312" w:cs="仿宋_GB2312"/>
          <w:sz w:val="32"/>
          <w:szCs w:val="32"/>
        </w:rPr>
        <w:fldChar w:fldCharType="end"/>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eastAsia="zh-Hans"/>
        </w:rPr>
        <w:sectPr>
          <w:pgSz w:w="11906" w:h="16838"/>
          <w:pgMar w:top="1440" w:right="1800" w:bottom="1440" w:left="1800" w:header="851" w:footer="992" w:gutter="0"/>
          <w:cols w:space="425" w:num="1"/>
          <w:docGrid w:type="lines" w:linePitch="312" w:charSpace="0"/>
        </w:sectPr>
      </w:pPr>
      <w:bookmarkStart w:id="0" w:name="_Toc10194"/>
    </w:p>
    <w:p>
      <w:pPr>
        <w:pStyle w:val="3"/>
        <w:spacing w:before="0" w:after="0" w:line="550" w:lineRule="exact"/>
        <w:jc w:val="center"/>
        <w:outlineLvl w:val="0"/>
        <w:rPr>
          <w:rFonts w:ascii="方正小标宋简体" w:hAnsi="方正小标宋简体" w:eastAsia="方正小标宋简体" w:cs="方正小标宋简体"/>
          <w:b w:val="0"/>
          <w:bCs w:val="0"/>
          <w:spacing w:val="6"/>
          <w:w w:val="95"/>
          <w:sz w:val="44"/>
          <w:szCs w:val="44"/>
        </w:rPr>
      </w:pPr>
      <w:r>
        <w:rPr>
          <w:rFonts w:hint="eastAsia" w:ascii="方正小标宋简体" w:hAnsi="方正小标宋简体" w:eastAsia="方正小标宋简体" w:cs="方正小标宋简体"/>
          <w:b w:val="0"/>
          <w:bCs w:val="0"/>
          <w:spacing w:val="6"/>
          <w:w w:val="95"/>
          <w:sz w:val="44"/>
          <w:szCs w:val="44"/>
          <w:lang w:eastAsia="zh-Hans"/>
        </w:rPr>
        <w:t>钱塘新区</w:t>
      </w:r>
      <w:r>
        <w:rPr>
          <w:rFonts w:ascii="方正小标宋简体" w:hAnsi="方正小标宋简体" w:eastAsia="方正小标宋简体" w:cs="方正小标宋简体"/>
          <w:b w:val="0"/>
          <w:bCs w:val="0"/>
          <w:spacing w:val="6"/>
          <w:w w:val="95"/>
          <w:sz w:val="44"/>
          <w:szCs w:val="44"/>
          <w:lang w:eastAsia="zh-Hans"/>
        </w:rPr>
        <w:t>（</w:t>
      </w:r>
      <w:r>
        <w:rPr>
          <w:rFonts w:hint="eastAsia" w:ascii="方正小标宋简体" w:hAnsi="方正小标宋简体" w:eastAsia="方正小标宋简体" w:cs="方正小标宋简体"/>
          <w:b w:val="0"/>
          <w:bCs w:val="0"/>
          <w:spacing w:val="6"/>
          <w:w w:val="95"/>
          <w:sz w:val="44"/>
          <w:szCs w:val="44"/>
          <w:lang w:eastAsia="zh-Hans"/>
        </w:rPr>
        <w:t>钱塘区</w:t>
      </w:r>
      <w:r>
        <w:rPr>
          <w:rFonts w:ascii="方正小标宋简体" w:hAnsi="方正小标宋简体" w:eastAsia="方正小标宋简体" w:cs="方正小标宋简体"/>
          <w:b w:val="0"/>
          <w:bCs w:val="0"/>
          <w:spacing w:val="6"/>
          <w:w w:val="95"/>
          <w:sz w:val="44"/>
          <w:szCs w:val="44"/>
          <w:lang w:eastAsia="zh-Hans"/>
        </w:rPr>
        <w:t>）</w:t>
      </w:r>
      <w:r>
        <w:rPr>
          <w:rFonts w:hint="eastAsia" w:ascii="方正小标宋简体" w:hAnsi="方正小标宋简体" w:eastAsia="方正小标宋简体" w:cs="方正小标宋简体"/>
          <w:b w:val="0"/>
          <w:bCs w:val="0"/>
          <w:spacing w:val="6"/>
          <w:w w:val="95"/>
          <w:sz w:val="44"/>
          <w:szCs w:val="44"/>
        </w:rPr>
        <w:t>区情概况</w:t>
      </w:r>
      <w:bookmarkEnd w:id="0"/>
    </w:p>
    <w:p>
      <w:pPr>
        <w:pStyle w:val="3"/>
        <w:spacing w:before="0" w:after="0" w:line="550" w:lineRule="exact"/>
        <w:ind w:firstLine="640" w:firstLineChars="200"/>
        <w:outlineLvl w:val="9"/>
        <w:rPr>
          <w:rFonts w:ascii="仿宋_GB2312" w:hAnsi="仿宋_GB2312" w:eastAsia="仿宋_GB2312" w:cs="仿宋_GB2312"/>
          <w:b w:val="0"/>
          <w:bCs w:val="0"/>
        </w:rPr>
      </w:pPr>
    </w:p>
    <w:p>
      <w:pPr>
        <w:widowControl/>
        <w:spacing w:line="55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钱塘地处大湾区地理中心，“陆铁空水”四港联动，“一带一路”、长江经济带、长三角一体化发展三大国家战略在此交汇。钱塘实行“区政合一”体制，既是全省首个、杭州唯一的省级新区，也是最年轻的行政区，拥有经开区、高新区、综保区、自贸区等多块国家级牌子，总面积531.7平方公里，下辖7个街道、120个村社，常住人口79.7万。</w:t>
      </w:r>
      <w:r>
        <w:rPr>
          <w:rFonts w:ascii="仿宋_GB2312" w:hAnsi="仿宋_GB2312" w:eastAsia="仿宋_GB2312" w:cs="仿宋_GB2312"/>
          <w:sz w:val="32"/>
          <w:szCs w:val="32"/>
        </w:rPr>
        <w:t>2022</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实现地区生产总值12</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亿元；规上工业总产值突破3500亿元；固定资产投资增长1</w:t>
      </w:r>
      <w:r>
        <w:rPr>
          <w:rFonts w:ascii="仿宋_GB2312" w:hAnsi="仿宋_GB2312" w:eastAsia="仿宋_GB2312" w:cs="仿宋_GB2312"/>
          <w:sz w:val="32"/>
          <w:szCs w:val="32"/>
        </w:rPr>
        <w:t>7</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5</w:t>
      </w:r>
      <w:r>
        <w:rPr>
          <w:rFonts w:hint="eastAsia" w:ascii="仿宋_GB2312" w:hAnsi="仿宋_GB2312" w:eastAsia="仿宋_GB2312" w:cs="仿宋_GB2312"/>
          <w:sz w:val="32"/>
          <w:szCs w:val="32"/>
        </w:rPr>
        <w:t>%；经开区</w:t>
      </w:r>
      <w:r>
        <w:rPr>
          <w:rFonts w:ascii="仿宋_GB2312" w:hAnsi="仿宋_GB2312" w:eastAsia="仿宋_GB2312" w:cs="仿宋_GB2312"/>
          <w:sz w:val="32"/>
          <w:szCs w:val="32"/>
        </w:rPr>
        <w:t>考评</w:t>
      </w:r>
      <w:r>
        <w:rPr>
          <w:rFonts w:hint="eastAsia" w:ascii="仿宋_GB2312" w:hAnsi="仿宋_GB2312" w:eastAsia="仿宋_GB2312" w:cs="仿宋_GB2312"/>
          <w:sz w:val="32"/>
          <w:szCs w:val="32"/>
          <w:lang w:eastAsia="zh-Hans"/>
        </w:rPr>
        <w:t>蝉联</w:t>
      </w:r>
      <w:r>
        <w:rPr>
          <w:rFonts w:hint="eastAsia" w:ascii="仿宋_GB2312" w:hAnsi="仿宋_GB2312" w:eastAsia="仿宋_GB2312" w:cs="仿宋_GB2312"/>
          <w:sz w:val="32"/>
          <w:szCs w:val="32"/>
        </w:rPr>
        <w:t>全国第九、全省唯一</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全省高新区综合评价排名第三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综保区连续三年保持全国双A类；</w:t>
      </w:r>
      <w:r>
        <w:rPr>
          <w:rFonts w:hint="eastAsia" w:ascii="仿宋_GB2312" w:hAnsi="仿宋_GB2312" w:eastAsia="仿宋_GB2312" w:cs="仿宋_GB2312"/>
          <w:sz w:val="32"/>
          <w:szCs w:val="32"/>
          <w:lang w:eastAsia="zh-Hans"/>
        </w:rPr>
        <w:t>入选全省高能级战略平台培育名单</w:t>
      </w:r>
      <w:r>
        <w:rPr>
          <w:rFonts w:hint="eastAsia" w:ascii="仿宋_GB2312" w:hAnsi="仿宋_GB2312" w:eastAsia="仿宋_GB2312" w:cs="仿宋_GB2312"/>
          <w:sz w:val="32"/>
          <w:szCs w:val="32"/>
        </w:rPr>
        <w:t>。</w:t>
      </w:r>
    </w:p>
    <w:p>
      <w:pPr>
        <w:widowControl/>
        <w:spacing w:line="55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钱塘因围垦而生。</w:t>
      </w:r>
      <w:r>
        <w:rPr>
          <w:rFonts w:hint="eastAsia" w:ascii="仿宋_GB2312" w:eastAsia="仿宋_GB2312"/>
          <w:sz w:val="32"/>
          <w:szCs w:val="32"/>
        </w:rPr>
        <w:t>上世纪五六十年代开始，数十万围垦大军历时40余年围海造田60多万亩，构成了钱塘如今79%的陆域面积，形成了77平方公里杭州最大的江海湿地，造就了一马平川的平原地形，为产业发展提供了广阔空间。</w:t>
      </w:r>
    </w:p>
    <w:p>
      <w:pPr>
        <w:widowControl/>
        <w:spacing w:line="55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钱塘因改革而立。</w:t>
      </w:r>
      <w:r>
        <w:rPr>
          <w:rFonts w:hint="eastAsia" w:ascii="仿宋_GB2312" w:eastAsia="仿宋_GB2312"/>
          <w:sz w:val="32"/>
          <w:szCs w:val="32"/>
        </w:rPr>
        <w:t>三十年来，钱塘历经多轮体制调整。1993年4月，国务院批准设立杭州经济技术开发区；2014年8月，市委市政府撤销原江东、临江、前进管理机构，</w:t>
      </w:r>
      <w:r>
        <w:rPr>
          <w:rFonts w:hint="eastAsia" w:ascii="仿宋_GB2312" w:hAnsi="仿宋_GB2312" w:eastAsia="仿宋_GB2312" w:cs="仿宋_GB2312"/>
          <w:sz w:val="32"/>
          <w:szCs w:val="32"/>
        </w:rPr>
        <w:t>实现大江东“一个平台、一个主体”；</w:t>
      </w:r>
      <w:r>
        <w:rPr>
          <w:rFonts w:hint="eastAsia" w:ascii="仿宋_GB2312" w:eastAsia="仿宋_GB2312"/>
          <w:sz w:val="32"/>
          <w:szCs w:val="32"/>
        </w:rPr>
        <w:t>2019年4月，省政府批复同意两区整合设立钱塘新区，并赋予</w:t>
      </w:r>
      <w:r>
        <w:rPr>
          <w:rFonts w:hint="eastAsia" w:ascii="仿宋_GB2312" w:hAnsi="仿宋_GB2312" w:eastAsia="仿宋_GB2312" w:cs="仿宋_GB2312"/>
          <w:bCs/>
          <w:sz w:val="32"/>
          <w:szCs w:val="32"/>
        </w:rPr>
        <w:t>世界级智能制造产业集群、长三角地区产城融合发展示范区、全省标志性战略性改革开放大平台、杭州湾数字经济与高端制造融合创新发展引领区“四大定位”</w:t>
      </w:r>
      <w:r>
        <w:rPr>
          <w:rFonts w:hint="eastAsia" w:ascii="仿宋_GB2312" w:eastAsia="仿宋_GB2312"/>
          <w:sz w:val="32"/>
          <w:szCs w:val="32"/>
        </w:rPr>
        <w:t>；2021年4月，成立行政区。“区政合一”的根本在于“强区优政”，新区是主导，是省市深化改革开放的重要窗口、加快大湾区建设的重要抓手、融入长三角发展的重要力量；行政区是保障，通过完善城市功能、服务区域民生，赋能新区高质量发展。</w:t>
      </w:r>
    </w:p>
    <w:p>
      <w:pPr>
        <w:spacing w:line="550" w:lineRule="exact"/>
        <w:ind w:firstLine="640"/>
        <w:rPr>
          <w:rFonts w:ascii="仿宋_GB2312" w:eastAsia="仿宋_GB2312"/>
          <w:sz w:val="32"/>
          <w:szCs w:val="32"/>
        </w:rPr>
      </w:pPr>
      <w:r>
        <w:rPr>
          <w:rFonts w:hint="eastAsia" w:ascii="楷体_GB2312" w:hAnsi="楷体_GB2312" w:eastAsia="楷体_GB2312" w:cs="楷体_GB2312"/>
          <w:b/>
          <w:bCs/>
          <w:sz w:val="32"/>
          <w:szCs w:val="32"/>
        </w:rPr>
        <w:t>钱塘因产业而兴。</w:t>
      </w:r>
      <w:r>
        <w:rPr>
          <w:rFonts w:hint="eastAsia" w:ascii="仿宋_GB2312" w:hAnsi="仿宋_GB2312" w:eastAsia="仿宋_GB2312" w:cs="仿宋_GB2312"/>
          <w:sz w:val="32"/>
          <w:szCs w:val="32"/>
        </w:rPr>
        <w:t>习近平总书记在2006年调研</w:t>
      </w:r>
      <w:r>
        <w:rPr>
          <w:rFonts w:hint="eastAsia" w:ascii="仿宋_GB2312" w:hAnsi="仿宋_GB2312" w:eastAsia="仿宋_GB2312" w:cs="仿宋_GB2312"/>
          <w:bCs/>
          <w:sz w:val="32"/>
          <w:szCs w:val="32"/>
        </w:rPr>
        <w:t>杭经开时，提出“以开发区和项目建设为抓手，深入推进先进制造业基地建设”。省市</w:t>
      </w:r>
      <w:r>
        <w:rPr>
          <w:rFonts w:ascii="仿宋_GB2312" w:hAnsi="仿宋_GB2312" w:eastAsia="仿宋_GB2312" w:cs="仿宋_GB2312"/>
          <w:bCs/>
          <w:sz w:val="32"/>
          <w:szCs w:val="32"/>
        </w:rPr>
        <w:t>高度重视钱塘发展，</w:t>
      </w:r>
      <w:r>
        <w:rPr>
          <w:rFonts w:hint="eastAsia" w:ascii="仿宋_GB2312" w:hAnsi="仿宋_GB2312" w:eastAsia="仿宋_GB2312" w:cs="仿宋_GB2312"/>
          <w:bCs/>
          <w:sz w:val="32"/>
          <w:szCs w:val="32"/>
        </w:rPr>
        <w:t>均出台专项支持政策</w:t>
      </w:r>
      <w:r>
        <w:rPr>
          <w:rFonts w:hint="eastAsia" w:ascii="仿宋_GB2312" w:eastAsia="仿宋_GB2312"/>
          <w:sz w:val="32"/>
          <w:szCs w:val="32"/>
        </w:rPr>
        <w:t>。多年来，</w:t>
      </w:r>
      <w:r>
        <w:rPr>
          <w:rFonts w:hint="eastAsia" w:ascii="仿宋_GB2312" w:hAnsi="仿宋" w:eastAsia="仿宋_GB2312" w:cs="仿宋"/>
          <w:b/>
          <w:bCs/>
          <w:sz w:val="32"/>
          <w:szCs w:val="32"/>
        </w:rPr>
        <w:t>产业规模日益壮大，</w:t>
      </w:r>
      <w:r>
        <w:rPr>
          <w:rFonts w:hint="eastAsia" w:ascii="仿宋_GB2312" w:hAnsi="仿宋" w:eastAsia="仿宋_GB2312" w:cs="仿宋"/>
          <w:sz w:val="32"/>
          <w:szCs w:val="32"/>
        </w:rPr>
        <w:t>2022年规上工业总产值占杭州总量20%，制造业投资、“152”项目数、工业用地出让量等潜力性指标位列全市第一，</w:t>
      </w:r>
      <w:r>
        <w:rPr>
          <w:rFonts w:hint="eastAsia" w:ascii="仿宋_GB2312" w:hAnsi="仿宋_GB2312" w:eastAsia="仿宋_GB2312" w:cs="仿宋_GB2312"/>
          <w:bCs/>
          <w:sz w:val="32"/>
          <w:szCs w:val="32"/>
        </w:rPr>
        <w:t>累计招引世界500强投资项目77个。</w:t>
      </w:r>
      <w:r>
        <w:rPr>
          <w:rFonts w:hint="eastAsia" w:ascii="仿宋_GB2312" w:hAnsi="仿宋_GB2312" w:eastAsia="仿宋_GB2312" w:cs="仿宋_GB2312"/>
          <w:b/>
          <w:sz w:val="32"/>
          <w:szCs w:val="32"/>
        </w:rPr>
        <w:t>主导产业日益集聚，</w:t>
      </w:r>
      <w:r>
        <w:rPr>
          <w:rFonts w:hint="eastAsia" w:ascii="仿宋_GB2312" w:hAnsi="仿宋_GB2312" w:eastAsia="仿宋_GB2312" w:cs="仿宋_GB2312"/>
          <w:bCs/>
          <w:sz w:val="32"/>
          <w:szCs w:val="32"/>
        </w:rPr>
        <w:t>“车芯药化航”五大主导产业占全区规上工业比重85%，建有生物医药、航空航天2个全省“万亩千亿”平台，</w:t>
      </w:r>
      <w:r>
        <w:rPr>
          <w:rFonts w:hint="eastAsia" w:ascii="仿宋_GB2312" w:eastAsia="仿宋_GB2312"/>
          <w:snapToGrid w:val="0"/>
          <w:kern w:val="0"/>
          <w:sz w:val="32"/>
          <w:szCs w:val="32"/>
        </w:rPr>
        <w:t>生物医药营收占</w:t>
      </w:r>
      <w:r>
        <w:rPr>
          <w:rFonts w:hint="eastAsia" w:ascii="仿宋_GB2312" w:hAnsi="仿宋_GB2312" w:eastAsia="仿宋_GB2312" w:cs="仿宋_GB2312"/>
          <w:bCs/>
          <w:sz w:val="32"/>
          <w:szCs w:val="32"/>
        </w:rPr>
        <w:t>全市一半左右，建成智能汽车及智能装备1个千亿</w:t>
      </w:r>
      <w:r>
        <w:rPr>
          <w:rFonts w:hint="eastAsia" w:ascii="仿宋_GB2312" w:eastAsia="仿宋_GB2312"/>
          <w:snapToGrid w:val="0"/>
          <w:kern w:val="0"/>
          <w:sz w:val="32"/>
          <w:szCs w:val="32"/>
        </w:rPr>
        <w:t>产业集群，生命健康、新材料、半导体等3个500亿级产业集群。</w:t>
      </w:r>
      <w:r>
        <w:rPr>
          <w:rFonts w:hint="eastAsia" w:ascii="仿宋_GB2312" w:hAnsi="仿宋_GB2312" w:eastAsia="仿宋_GB2312" w:cs="仿宋_GB2312"/>
          <w:b/>
          <w:sz w:val="32"/>
          <w:szCs w:val="32"/>
        </w:rPr>
        <w:t>企业梯队日益完善，</w:t>
      </w:r>
      <w:r>
        <w:rPr>
          <w:rFonts w:hint="eastAsia" w:ascii="仿宋_GB2312" w:hAnsi="仿宋_GB2312" w:eastAsia="仿宋_GB2312" w:cs="仿宋_GB2312"/>
          <w:bCs/>
          <w:sz w:val="32"/>
          <w:szCs w:val="32"/>
        </w:rPr>
        <w:t>拥有规上工业企业695家</w:t>
      </w:r>
      <w:r>
        <w:rPr>
          <w:rFonts w:hint="eastAsia" w:ascii="仿宋_GB2312" w:hAnsi="仿宋" w:eastAsia="仿宋_GB2312" w:cs="仿宋"/>
          <w:sz w:val="32"/>
          <w:szCs w:val="32"/>
        </w:rPr>
        <w:t>、</w:t>
      </w:r>
      <w:r>
        <w:rPr>
          <w:rFonts w:hint="eastAsia" w:ascii="仿宋_GB2312" w:hAnsi="仿宋" w:eastAsia="仿宋_GB2312" w:cs="仿宋"/>
          <w:sz w:val="32"/>
          <w:szCs w:val="32"/>
          <w:lang w:bidi="ar"/>
        </w:rPr>
        <w:t>国家高新技术企业1004家、专精特新企业</w:t>
      </w:r>
      <w:r>
        <w:rPr>
          <w:rFonts w:ascii="仿宋_GB2312" w:hAnsi="仿宋" w:eastAsia="仿宋_GB2312" w:cs="仿宋"/>
          <w:sz w:val="32"/>
          <w:szCs w:val="32"/>
          <w:lang w:bidi="ar"/>
        </w:rPr>
        <w:t>93</w:t>
      </w:r>
      <w:r>
        <w:rPr>
          <w:rFonts w:hint="eastAsia" w:ascii="仿宋_GB2312" w:hAnsi="仿宋" w:eastAsia="仿宋_GB2312" w:cs="仿宋"/>
          <w:sz w:val="32"/>
          <w:szCs w:val="32"/>
          <w:lang w:bidi="ar"/>
        </w:rPr>
        <w:t>家、</w:t>
      </w:r>
      <w:r>
        <w:rPr>
          <w:rFonts w:hint="eastAsia" w:ascii="仿宋_GB2312" w:hAnsi="仿宋" w:eastAsia="仿宋_GB2312" w:cs="仿宋"/>
          <w:sz w:val="32"/>
          <w:szCs w:val="32"/>
        </w:rPr>
        <w:t>上市企业1</w:t>
      </w:r>
      <w:r>
        <w:rPr>
          <w:rFonts w:ascii="仿宋_GB2312" w:hAnsi="仿宋" w:eastAsia="仿宋_GB2312" w:cs="仿宋"/>
          <w:sz w:val="32"/>
          <w:szCs w:val="32"/>
        </w:rPr>
        <w:t>9</w:t>
      </w:r>
      <w:r>
        <w:rPr>
          <w:rFonts w:hint="eastAsia" w:ascii="仿宋_GB2312" w:hAnsi="仿宋" w:eastAsia="仿宋_GB2312" w:cs="仿宋"/>
          <w:sz w:val="32"/>
          <w:szCs w:val="32"/>
        </w:rPr>
        <w:t>家。</w:t>
      </w:r>
    </w:p>
    <w:p>
      <w:pPr>
        <w:spacing w:line="550" w:lineRule="exact"/>
        <w:ind w:firstLine="640"/>
        <w:rPr>
          <w:rFonts w:hint="eastAsia" w:ascii="仿宋_GB2312" w:hAnsi="仿宋" w:eastAsia="仿宋_GB2312" w:cs="仿宋"/>
          <w:sz w:val="32"/>
          <w:szCs w:val="32"/>
          <w:lang w:bidi="ar"/>
        </w:rPr>
      </w:pPr>
      <w:r>
        <w:rPr>
          <w:rFonts w:hint="eastAsia" w:ascii="楷体_GB2312" w:hAnsi="楷体_GB2312" w:eastAsia="楷体_GB2312" w:cs="楷体_GB2312"/>
          <w:b/>
          <w:bCs/>
          <w:sz w:val="32"/>
          <w:szCs w:val="32"/>
        </w:rPr>
        <w:t>钱塘因创新而变。</w:t>
      </w:r>
      <w:r>
        <w:rPr>
          <w:rFonts w:hint="eastAsia" w:ascii="仿宋_GB2312" w:hAnsi="仿宋" w:eastAsia="仿宋_GB2312" w:cs="仿宋"/>
          <w:sz w:val="32"/>
          <w:szCs w:val="32"/>
          <w:lang w:bidi="ar"/>
        </w:rPr>
        <w:t>依托全</w:t>
      </w:r>
      <w:r>
        <w:rPr>
          <w:rFonts w:hint="eastAsia" w:ascii="仿宋_GB2312" w:hAnsi="仿宋_GB2312" w:eastAsia="仿宋_GB2312" w:cs="仿宋_GB2312"/>
          <w:sz w:val="32"/>
          <w:szCs w:val="32"/>
          <w:lang w:bidi="ar"/>
        </w:rPr>
        <w:t>省最大规模</w:t>
      </w:r>
      <w:r>
        <w:rPr>
          <w:rFonts w:hint="eastAsia" w:ascii="仿宋_GB2312" w:hAnsi="仿宋" w:eastAsia="仿宋_GB2312" w:cs="仿宋"/>
          <w:sz w:val="32"/>
          <w:szCs w:val="32"/>
          <w:lang w:bidi="ar"/>
        </w:rPr>
        <w:t>高教园区等优势资源，打造全域性创新平台钱塘科学城，引进中科院医学所、钱塘科创中心等高端科研机构3</w:t>
      </w:r>
      <w:r>
        <w:rPr>
          <w:rFonts w:ascii="仿宋_GB2312" w:hAnsi="仿宋" w:eastAsia="仿宋_GB2312" w:cs="仿宋"/>
          <w:sz w:val="32"/>
          <w:szCs w:val="32"/>
          <w:lang w:bidi="ar"/>
        </w:rPr>
        <w:t>0余</w:t>
      </w:r>
      <w:r>
        <w:rPr>
          <w:rFonts w:hint="eastAsia" w:ascii="仿宋_GB2312" w:hAnsi="仿宋" w:eastAsia="仿宋_GB2312" w:cs="仿宋"/>
          <w:sz w:val="32"/>
          <w:szCs w:val="32"/>
          <w:lang w:bidi="ar"/>
        </w:rPr>
        <w:t>家，累计引育鲲鹏人才3人、顶尖及领军人才292名</w:t>
      </w:r>
      <w:r>
        <w:rPr>
          <w:rFonts w:hint="eastAsia" w:ascii="仿宋_GB2312" w:hAnsi="仿宋_GB2312" w:eastAsia="仿宋_GB2312" w:cs="仿宋_GB2312"/>
          <w:sz w:val="32"/>
          <w:szCs w:val="32"/>
        </w:rPr>
        <w:t>。创新指数居全省第五，</w:t>
      </w:r>
      <w:r>
        <w:rPr>
          <w:rFonts w:hint="eastAsia" w:ascii="仿宋_GB2312" w:hAnsi="仿宋" w:eastAsia="仿宋_GB2312" w:cs="仿宋"/>
          <w:sz w:val="32"/>
          <w:szCs w:val="32"/>
          <w:lang w:bidi="ar"/>
        </w:rPr>
        <w:t>拥有国家级孵化器和众创空间14家、省级以上企业研发机构276家，R&amp;D经费投入强度4.54%，位居全省第二；有效发明专利拥有量</w:t>
      </w:r>
      <w:r>
        <w:rPr>
          <w:rFonts w:ascii="仿宋_GB2312" w:hAnsi="仿宋" w:eastAsia="仿宋_GB2312" w:cs="仿宋"/>
          <w:sz w:val="32"/>
          <w:szCs w:val="32"/>
          <w:lang w:bidi="ar"/>
        </w:rPr>
        <w:t>16435</w:t>
      </w:r>
      <w:r>
        <w:rPr>
          <w:rFonts w:hint="eastAsia" w:ascii="仿宋_GB2312" w:hAnsi="仿宋" w:eastAsia="仿宋_GB2312" w:cs="仿宋"/>
          <w:sz w:val="32"/>
          <w:szCs w:val="32"/>
          <w:lang w:bidi="ar"/>
        </w:rPr>
        <w:t>件，位居全市第三；产业基金总规模273亿元，在2022清科榜中国政府产业基金中位列县区级第七。</w:t>
      </w:r>
    </w:p>
    <w:p>
      <w:pPr>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br w:type="page"/>
      </w:r>
    </w:p>
    <w:p>
      <w:pPr>
        <w:spacing w:line="560" w:lineRule="exact"/>
        <w:rPr>
          <w:rFonts w:ascii="仿宋_GB2312" w:eastAsia="仿宋_GB2312"/>
          <w:sz w:val="32"/>
          <w:szCs w:val="32"/>
        </w:rPr>
      </w:pP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eastAsia="zh-Hans"/>
        </w:rPr>
      </w:pPr>
      <w:bookmarkStart w:id="1" w:name="_Toc26511"/>
      <w:r>
        <w:rPr>
          <w:rFonts w:hint="eastAsia" w:ascii="方正小标宋简体" w:hAnsi="方正小标宋简体" w:eastAsia="方正小标宋简体" w:cs="方正小标宋简体"/>
          <w:b w:val="0"/>
          <w:bCs w:val="0"/>
          <w:spacing w:val="6"/>
          <w:w w:val="95"/>
          <w:sz w:val="44"/>
          <w:szCs w:val="44"/>
          <w:lang w:eastAsia="zh-Hans"/>
        </w:rPr>
        <w:t>政府工作报告</w:t>
      </w:r>
      <w:bookmarkEnd w:id="1"/>
    </w:p>
    <w:p>
      <w:pPr>
        <w:spacing w:line="560" w:lineRule="exact"/>
        <w:rPr>
          <w:rFonts w:ascii="仿宋_GB2312" w:eastAsia="仿宋_GB2312"/>
          <w:spacing w:val="-18"/>
          <w:sz w:val="32"/>
          <w:szCs w:val="32"/>
        </w:rPr>
      </w:pPr>
      <w:r>
        <w:rPr>
          <w:rFonts w:ascii="楷体_GB2312" w:eastAsia="楷体_GB2312"/>
          <w:spacing w:val="-18"/>
          <w:sz w:val="32"/>
          <w:szCs w:val="32"/>
        </w:rPr>
        <w:t>2023年2月4日经钱塘区第一届人民代表大会第</w:t>
      </w:r>
      <w:r>
        <w:rPr>
          <w:rFonts w:hint="eastAsia" w:ascii="楷体_GB2312" w:eastAsia="楷体_GB2312"/>
          <w:spacing w:val="-18"/>
          <w:sz w:val="32"/>
          <w:szCs w:val="32"/>
        </w:rPr>
        <w:t>三</w:t>
      </w:r>
      <w:r>
        <w:rPr>
          <w:rFonts w:ascii="楷体_GB2312" w:eastAsia="楷体_GB2312"/>
          <w:spacing w:val="-18"/>
          <w:sz w:val="32"/>
          <w:szCs w:val="32"/>
        </w:rPr>
        <w:t>次会议审议通过</w:t>
      </w:r>
    </w:p>
    <w:p>
      <w:pPr>
        <w:spacing w:line="560" w:lineRule="exact"/>
        <w:rPr>
          <w:rFonts w:ascii="仿宋_GB2312" w:eastAsia="仿宋_GB2312"/>
          <w:sz w:val="32"/>
          <w:szCs w:val="32"/>
        </w:rPr>
      </w:pPr>
    </w:p>
    <w:p>
      <w:pPr>
        <w:spacing w:line="560" w:lineRule="exact"/>
        <w:ind w:firstLine="640" w:firstLineChars="200"/>
        <w:outlineLvl w:val="9"/>
        <w:rPr>
          <w:rFonts w:ascii="黑体" w:hAnsi="黑体" w:eastAsia="黑体"/>
          <w:sz w:val="32"/>
          <w:szCs w:val="32"/>
        </w:rPr>
      </w:pPr>
      <w:r>
        <w:rPr>
          <w:rFonts w:hint="eastAsia" w:ascii="黑体" w:hAnsi="黑体" w:eastAsia="黑体"/>
          <w:sz w:val="32"/>
          <w:szCs w:val="32"/>
        </w:rPr>
        <w:t>一、2022年工作回顾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面对世纪疫情和百年变局交织、转型机遇与风险挑战叠加的复杂形势，在市委市政府和区委的坚强领导下，全区上下坚持以习近平新时代中国特色社会主义思想为指导，紧紧围绕迎接、宣传、贯彻党的二十大工作主线，全面践行“疫情要防住、经济要稳住、发展要安全”的重要要求，深入推进“四个全域”，全力实施经济稳进提质九大攻坚行动，构建共同富裕“一图一方案六清单”，攻坚克难、承压奋进，较好完成了区一届人大二次会议确定的目标任务。全年实现地区生产总值</w:t>
      </w:r>
      <w:r>
        <w:rPr>
          <w:rFonts w:ascii="仿宋_GB2312" w:eastAsia="仿宋_GB2312"/>
          <w:sz w:val="32"/>
          <w:szCs w:val="32"/>
        </w:rPr>
        <w:t>1226</w:t>
      </w:r>
      <w:r>
        <w:rPr>
          <w:rFonts w:hint="eastAsia" w:ascii="仿宋_GB2312" w:eastAsia="仿宋_GB2312"/>
          <w:sz w:val="32"/>
          <w:szCs w:val="32"/>
        </w:rPr>
        <w:t>亿元；规上工业总产值突破3500亿元；完成一般公共预算收入116.6亿元，剔除留抵退税影响后(同口径)增长9.9%；取得经开区全国第九、高新区全省第三的历史最好成绩，综保区连续三年保持全国“双A”类；荣获全国农业农村信息化发展先进区，首次摘得全省改革突破奖，首次创成省级平安区、食品安全示范区，入选省级城乡社区治理和服务创新实验区，“亩均论英雄”改革和“一带一路”重要枢纽建设获省政府督查激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一年来主要工作及成效体现在以下六个方面：</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(一)齐心协力战疫情、促发展，经济运行平稳有序。</w:t>
      </w:r>
      <w:r>
        <w:rPr>
          <w:rFonts w:hint="eastAsia" w:ascii="仿宋_GB2312" w:eastAsia="仿宋_GB2312"/>
          <w:b/>
          <w:bCs/>
          <w:sz w:val="32"/>
          <w:szCs w:val="32"/>
        </w:rPr>
        <w:t>牢牢守护群众健康。</w:t>
      </w:r>
      <w:r>
        <w:rPr>
          <w:rFonts w:hint="eastAsia" w:ascii="仿宋_GB2312" w:eastAsia="仿宋_GB2312"/>
          <w:sz w:val="32"/>
          <w:szCs w:val="32"/>
        </w:rPr>
        <w:t>认真执行各项优化防控措施，高效落实“七大机制”，攻坚启用健康驿站，从严守好入城大门、社区小门，及时把握防控转段要求，动态调整防控重心，“以快制快”打赢了多轮疫情防控阻击战，力求以最小代价实现最大防控效果，最大限度减少疫情对经济社会发展的影响。</w:t>
      </w:r>
      <w:r>
        <w:rPr>
          <w:rFonts w:hint="eastAsia" w:ascii="仿宋_GB2312" w:eastAsia="仿宋_GB2312"/>
          <w:b/>
          <w:bCs/>
          <w:sz w:val="32"/>
          <w:szCs w:val="32"/>
        </w:rPr>
        <w:t>全面打赢投资赛马。</w:t>
      </w:r>
      <w:r>
        <w:rPr>
          <w:rFonts w:hint="eastAsia" w:ascii="仿宋_GB2312" w:eastAsia="仿宋_GB2312"/>
          <w:sz w:val="32"/>
          <w:szCs w:val="32"/>
        </w:rPr>
        <w:t>落地“152”项目9个，入选省重大产业项目6个，完成固定资产投资542.2亿元。出让工业用地3016亩，供应标准厂房1109亩，体量均居全市第一。制造业投资增长34.6%，连续两个季度获全省投资“赛马激励”。“拿地即开工”审批模式全省推广。</w:t>
      </w:r>
      <w:r>
        <w:rPr>
          <w:rFonts w:hint="eastAsia" w:ascii="仿宋_GB2312" w:eastAsia="仿宋_GB2312"/>
          <w:b/>
          <w:bCs/>
          <w:sz w:val="32"/>
          <w:szCs w:val="32"/>
        </w:rPr>
        <w:t>倾力实施助企纾困</w:t>
      </w:r>
      <w:r>
        <w:rPr>
          <w:rFonts w:hint="eastAsia" w:ascii="仿宋_GB2312" w:eastAsia="仿宋_GB2312"/>
          <w:sz w:val="32"/>
          <w:szCs w:val="32"/>
        </w:rPr>
        <w:t>。强化逆周期经济运行调度，出台“领飞计划”50条、稳岗促产新十条等系列政策，兑现各类惠企政策34亿元，为企业减负降本54.6亿元，减免房租1.79亿元。逆势新增“四上”企业275家、拟上市过会企业6家。</w:t>
      </w:r>
      <w:r>
        <w:rPr>
          <w:rFonts w:hint="eastAsia" w:ascii="仿宋_GB2312" w:eastAsia="仿宋_GB2312"/>
          <w:b/>
          <w:bCs/>
          <w:sz w:val="32"/>
          <w:szCs w:val="32"/>
        </w:rPr>
        <w:t>积极促进消费回补。</w:t>
      </w:r>
      <w:r>
        <w:rPr>
          <w:rFonts w:hint="eastAsia" w:ascii="仿宋_GB2312" w:eastAsia="仿宋_GB2312"/>
          <w:sz w:val="32"/>
          <w:szCs w:val="32"/>
        </w:rPr>
        <w:t>实施“钱产车”带牌销售，发放政府消费券3500万元，开展区产汽车“嗨购节”等促消费活动，拉动消费近16亿元，消费信心逐步恢复。</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(二)一以贯之固根基、优结构，现代产业体系集聚成势。</w:t>
      </w:r>
      <w:r>
        <w:rPr>
          <w:rFonts w:hint="eastAsia" w:ascii="仿宋_GB2312" w:eastAsia="仿宋_GB2312"/>
          <w:b/>
          <w:bCs/>
          <w:sz w:val="32"/>
          <w:szCs w:val="32"/>
        </w:rPr>
        <w:t>打造先进制造业集群</w:t>
      </w:r>
      <w:r>
        <w:rPr>
          <w:rFonts w:hint="eastAsia" w:ascii="仿宋_GB2312" w:eastAsia="仿宋_GB2312"/>
          <w:sz w:val="32"/>
          <w:szCs w:val="32"/>
        </w:rPr>
        <w:t>。生物医药、“芯智造”上榜省“链长制”优秀示范试点，临床试验药品数量增长73%，晶圆制造产值占全省比重超三分之一。医药港入围健康中国创新实践典型案例，大创小镇命名省级特色小镇。智能汽车及智能装备制造产业跃升千亿规模，吉利、广汽产值新上百亿，乘用车产量占全市95%以上。航空航天产业产值增长83.8%。中策、顾家、金鱼电器上榜中国制造业500强，新增浙江制造品牌9家。</w:t>
      </w:r>
      <w:r>
        <w:rPr>
          <w:rFonts w:hint="eastAsia" w:ascii="仿宋_GB2312" w:eastAsia="仿宋_GB2312"/>
          <w:b/>
          <w:bCs/>
          <w:sz w:val="32"/>
          <w:szCs w:val="32"/>
        </w:rPr>
        <w:t>夯实现代服务业基础</w:t>
      </w:r>
      <w:r>
        <w:rPr>
          <w:rFonts w:hint="eastAsia" w:ascii="仿宋_GB2312" w:eastAsia="仿宋_GB2312"/>
          <w:sz w:val="32"/>
          <w:szCs w:val="32"/>
        </w:rPr>
        <w:t>。编制现代服务业规划，构建“5-4-X”发展矩阵。创建省级冷链骨干基地1家、冷链物流园2家，成立制造业销售总部4家。引进美丽项目10个，美丽经济营收突破千亿。金沙吾角商圈入选市级夜经济集聚培育区，金沙湖休闲商业特色街获评市级商业特色街。钱塘科学城核心区获评省现代服务业创新发展示范区。</w:t>
      </w:r>
      <w:r>
        <w:rPr>
          <w:rFonts w:hint="eastAsia" w:ascii="仿宋_GB2312" w:eastAsia="仿宋_GB2312"/>
          <w:b/>
          <w:bCs/>
          <w:sz w:val="32"/>
          <w:szCs w:val="32"/>
        </w:rPr>
        <w:t>转型升级更进一步。</w:t>
      </w:r>
      <w:r>
        <w:rPr>
          <w:rFonts w:hint="eastAsia" w:ascii="仿宋_GB2312" w:eastAsia="仿宋_GB2312"/>
          <w:sz w:val="32"/>
          <w:szCs w:val="32"/>
        </w:rPr>
        <w:t>启动存量工业用地企业提质增效三年行动，盘活用地8000亩，13家企业获评“省制造业重点行业亩均效益领跑者”。坚持供地、供楼并行，开工工业综合体7个、157万平方米。实施数字经济三年行动计划，钱塘元宇宙新天地开园，数字经济核心产业增加值增长</w:t>
      </w:r>
      <w:r>
        <w:rPr>
          <w:rFonts w:ascii="仿宋_GB2312" w:eastAsia="仿宋_GB2312"/>
          <w:sz w:val="32"/>
          <w:szCs w:val="32"/>
        </w:rPr>
        <w:t>7.4</w:t>
      </w:r>
      <w:r>
        <w:rPr>
          <w:rFonts w:hint="eastAsia" w:ascii="仿宋_GB2312" w:eastAsia="仿宋_GB2312"/>
          <w:sz w:val="32"/>
          <w:szCs w:val="32"/>
        </w:rPr>
        <w:t>%。完成数字化改造攻关项目64个，工业技改投资增长30.2%，新认定市级以上“未来工厂”15家。</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(三)坚定不移强创新、增动能，发展活力充分迸发。</w:t>
      </w:r>
      <w:r>
        <w:rPr>
          <w:rFonts w:hint="eastAsia" w:ascii="仿宋_GB2312" w:eastAsia="仿宋_GB2312"/>
          <w:b/>
          <w:bCs/>
          <w:sz w:val="32"/>
          <w:szCs w:val="32"/>
        </w:rPr>
        <w:t>钱塘科学城建设深入推进。</w:t>
      </w:r>
      <w:r>
        <w:rPr>
          <w:rFonts w:hint="eastAsia" w:ascii="仿宋_GB2312" w:eastAsia="仿宋_GB2312"/>
          <w:sz w:val="32"/>
          <w:szCs w:val="32"/>
        </w:rPr>
        <w:t>发布战略规划，启动“科创+”计划，有效破解7个高校的产权办证历史难题，签订新一轮区校全面战略合作协议。新认定市级以上科技企业孵化器、众创空间10家，中科院医学所二期开工建设。新认定国家高新技术企业223家，获评国家级专精特新“小巨人”企业11家。发明专利授权量增长</w:t>
      </w:r>
      <w:r>
        <w:rPr>
          <w:rFonts w:ascii="仿宋_GB2312" w:eastAsia="仿宋_GB2312"/>
          <w:sz w:val="32"/>
          <w:szCs w:val="32"/>
        </w:rPr>
        <w:t>33.1</w:t>
      </w:r>
      <w:r>
        <w:rPr>
          <w:rFonts w:hint="eastAsia" w:ascii="仿宋_GB2312" w:eastAsia="仿宋_GB2312"/>
          <w:sz w:val="32"/>
          <w:szCs w:val="32"/>
        </w:rPr>
        <w:t>%，“科创企业上市知识产权加速一件事”获全国试点。引育顶尖及领军人才52名，落地高层次人才创业项目83个，国家级海外引才计划建议入选22人。承办全国双创周浙江分会场启动仪式、“创客中国”全国总决赛。</w:t>
      </w:r>
      <w:r>
        <w:rPr>
          <w:rFonts w:hint="eastAsia" w:ascii="仿宋_GB2312" w:eastAsia="仿宋_GB2312"/>
          <w:b/>
          <w:bCs/>
          <w:sz w:val="32"/>
          <w:szCs w:val="32"/>
        </w:rPr>
        <w:t>投资环境不断改善。</w:t>
      </w:r>
      <w:r>
        <w:rPr>
          <w:rFonts w:hint="eastAsia" w:ascii="仿宋_GB2312" w:eastAsia="仿宋_GB2312"/>
          <w:sz w:val="32"/>
          <w:szCs w:val="32"/>
        </w:rPr>
        <w:t>全市率先推广商事主体登记确认制，企业开办平均用时不到30分钟，在册市场主体增幅全市第二。提供政策性担保8.79亿元，浙江生物医药板挂牌企业113家，和达产业基金位列全国同类基金第七。深化电力供应战略合作，实行重点单位能源预算化管理。建立公平竞争审查制度，设立区政府质量奖。探索产业平台嵌入式政务服务。</w:t>
      </w:r>
      <w:r>
        <w:rPr>
          <w:rFonts w:hint="eastAsia" w:ascii="仿宋_GB2312" w:eastAsia="仿宋_GB2312"/>
          <w:b/>
          <w:bCs/>
          <w:sz w:val="32"/>
          <w:szCs w:val="32"/>
        </w:rPr>
        <w:t>招商引资量质并举。</w:t>
      </w:r>
      <w:r>
        <w:rPr>
          <w:rFonts w:hint="eastAsia" w:ascii="仿宋_GB2312" w:eastAsia="仿宋_GB2312"/>
          <w:sz w:val="32"/>
          <w:szCs w:val="32"/>
        </w:rPr>
        <w:t>实体化运作招商服务中心，签约亿元以上项目108个、10亿元以上项目20个，独角兽、专精特新企业13家。招引外商投资项目9个，实际利用外资10.6亿美元。引进总部经济项目6个，新增税收千万元以上企业24家。</w:t>
      </w:r>
      <w:r>
        <w:rPr>
          <w:rFonts w:hint="eastAsia" w:ascii="仿宋_GB2312" w:eastAsia="仿宋_GB2312"/>
          <w:b/>
          <w:bCs/>
          <w:sz w:val="32"/>
          <w:szCs w:val="32"/>
        </w:rPr>
        <w:t>开放发展再上台阶。</w:t>
      </w:r>
      <w:r>
        <w:rPr>
          <w:rFonts w:hint="eastAsia" w:ascii="仿宋_GB2312" w:eastAsia="仿宋_GB2312"/>
          <w:sz w:val="32"/>
          <w:szCs w:val="32"/>
        </w:rPr>
        <w:t>自贸区获评省级制度创新案例4项，全省首推特殊生物制品一体化通关平台，设立杭州片区首个自贸“共享法庭”，货贸、服贸、跨境电商出口分别增长</w:t>
      </w:r>
      <w:r>
        <w:rPr>
          <w:rFonts w:ascii="仿宋_GB2312" w:eastAsia="仿宋_GB2312"/>
          <w:sz w:val="32"/>
          <w:szCs w:val="32"/>
        </w:rPr>
        <w:t>5.8</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%和</w:t>
      </w:r>
      <w:r>
        <w:rPr>
          <w:rFonts w:ascii="仿宋_GB2312" w:eastAsia="仿宋_GB2312"/>
          <w:sz w:val="32"/>
          <w:szCs w:val="32"/>
        </w:rPr>
        <w:t>25.48%</w:t>
      </w:r>
      <w:r>
        <w:rPr>
          <w:rFonts w:hint="eastAsia" w:ascii="仿宋_GB2312" w:eastAsia="仿宋_GB2312"/>
          <w:sz w:val="32"/>
          <w:szCs w:val="32"/>
        </w:rPr>
        <w:t>。深入推进对口帮扶、山海协作、区域合作，帮扶项目试点、“产业飞地”共建取得新成果。</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(四)精准发力抓统筹、优环境，城市品质不断提升。</w:t>
      </w:r>
      <w:r>
        <w:rPr>
          <w:rFonts w:hint="eastAsia" w:ascii="仿宋_GB2312" w:eastAsia="仿宋_GB2312"/>
          <w:b/>
          <w:bCs/>
          <w:sz w:val="32"/>
          <w:szCs w:val="32"/>
        </w:rPr>
        <w:t>区块开发加快实施。</w:t>
      </w:r>
      <w:r>
        <w:rPr>
          <w:rFonts w:hint="eastAsia" w:ascii="仿宋_GB2312" w:eastAsia="仿宋_GB2312"/>
          <w:sz w:val="32"/>
          <w:szCs w:val="32"/>
        </w:rPr>
        <w:t>“三区三线”划定城镇开发边界163.3平方公里，新增发展空间6.6万亩。实施全域土地综合整治三年行动，启动河庄部级试点项目，多途径筹措建设用地指标3003亩，完成征地3937亩，经营性用地储备1000亩。拉开“一带两城”建设大幕，开工萧围西线提标改造工程，完成东部湾新城阶段性城市设计和800余亩土地收储，完成江海之城开发建设实施方案，开放城市展厅，完成高铁新城首期征迁和概念规划编制。</w:t>
      </w:r>
      <w:r>
        <w:rPr>
          <w:rFonts w:hint="eastAsia" w:ascii="仿宋_GB2312" w:eastAsia="仿宋_GB2312"/>
          <w:b/>
          <w:bCs/>
          <w:sz w:val="32"/>
          <w:szCs w:val="32"/>
        </w:rPr>
        <w:t>基础配套加快补强。</w:t>
      </w:r>
      <w:r>
        <w:rPr>
          <w:rFonts w:hint="eastAsia" w:ascii="仿宋_GB2312" w:eastAsia="仿宋_GB2312"/>
          <w:sz w:val="32"/>
          <w:szCs w:val="32"/>
        </w:rPr>
        <w:t>江东大道提升改造一、二期工程和钱塘快速路钱塘区段全线通车，运河二通道八堡船闸主体工程完工，竣工主次干道16条、开工10条，新增停车泊位8231个。开竣工110千伏以上电力项目9个，3条地下综合管廊如期投用，完成海绵城市区域化面积6.4平方公里，完成4个行政村生活污水设施提升。新增绿地232万平方米，金沙湖景观公园完成建设，钱塘大湾区湿地入选省级重要湿地名录。</w:t>
      </w:r>
      <w:r>
        <w:rPr>
          <w:rFonts w:hint="eastAsia" w:ascii="仿宋_GB2312" w:eastAsia="仿宋_GB2312"/>
          <w:b/>
          <w:bCs/>
          <w:sz w:val="32"/>
          <w:szCs w:val="32"/>
        </w:rPr>
        <w:t>城市管理水平提升。</w:t>
      </w:r>
      <w:r>
        <w:rPr>
          <w:rFonts w:hint="eastAsia" w:ascii="仿宋_GB2312" w:eastAsia="仿宋_GB2312"/>
          <w:sz w:val="32"/>
          <w:szCs w:val="32"/>
        </w:rPr>
        <w:t>构建“1+6+5”大综合一体化行政执法体系，65%以上执法力量下沉街道。实施管养一体化改革，奠定多维一体管养模式基础。盘活53块闲置空地资源，优化利用1053亩、整治复绿1469亩。实施亚运环境品质提升工程98个整治项目，金沙湖、东部湾分别创建为省、市级风貌区，临江街道、河庄街道成功创建美丽城镇省级样板。</w:t>
      </w:r>
      <w:r>
        <w:rPr>
          <w:rFonts w:hint="eastAsia" w:ascii="仿宋_GB2312" w:eastAsia="仿宋_GB2312"/>
          <w:b/>
          <w:bCs/>
          <w:sz w:val="32"/>
          <w:szCs w:val="32"/>
        </w:rPr>
        <w:t>生态治理取得成效。</w:t>
      </w:r>
      <w:r>
        <w:rPr>
          <w:rFonts w:hint="eastAsia" w:ascii="仿宋_GB2312" w:eastAsia="仿宋_GB2312"/>
          <w:sz w:val="32"/>
          <w:szCs w:val="32"/>
        </w:rPr>
        <w:t>中央环保督察信访件全部销号，长江经济带生态环境问题整改通过省级验收。市控以上水质断面100%达标，新增省级“美丽河湖”1条。关停重污染企业6家，完成57家企业挥发性有机物治理。开工易腐垃圾处置、再生资源分拣中心项目。</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(五)全心全意办实事、求实效，民生福祉持续增进。</w:t>
      </w:r>
      <w:r>
        <w:rPr>
          <w:rFonts w:hint="eastAsia" w:ascii="仿宋_GB2312" w:eastAsia="仿宋_GB2312"/>
          <w:b/>
          <w:bCs/>
          <w:sz w:val="32"/>
          <w:szCs w:val="32"/>
        </w:rPr>
        <w:t>公共服务统筹提升。</w:t>
      </w:r>
      <w:r>
        <w:rPr>
          <w:rFonts w:hint="eastAsia" w:ascii="仿宋_GB2312" w:eastAsia="仿宋_GB2312"/>
          <w:sz w:val="32"/>
          <w:szCs w:val="32"/>
        </w:rPr>
        <w:t>启动“钱塘优学”三年行动计划，新增市级以上名优特色学校25家，转制优质民办中小学3家，跨江任教人数近300名。单设区卫健局(区疾控局)，建成金沙湖社卫中心，开工义蓬社卫中心迁建工程，健康产业发展行动纳入省首批示范样板。“钱塘大围垦”入选省首批100个文化标识项目，成功创建蜀南村省级乡村博物馆。开放四大亚运场馆，新增嵌入式体育场地7万余平方米。</w:t>
      </w:r>
      <w:r>
        <w:rPr>
          <w:rFonts w:hint="eastAsia" w:ascii="仿宋_GB2312" w:eastAsia="仿宋_GB2312"/>
          <w:b/>
          <w:bCs/>
          <w:sz w:val="32"/>
          <w:szCs w:val="32"/>
        </w:rPr>
        <w:t>社会保障精准施策。</w:t>
      </w:r>
      <w:r>
        <w:rPr>
          <w:rFonts w:hint="eastAsia" w:ascii="仿宋_GB2312" w:eastAsia="仿宋_GB2312"/>
          <w:sz w:val="32"/>
          <w:szCs w:val="32"/>
        </w:rPr>
        <w:t>技术工人公共服务样板、“三大体系”推动高校毕业生创业就业分别入选省级共富试点和最佳实践。推出差异化购房试点，新建公租房5580套、人才房1606套，全省首推沁香公寓人才共有产权房一期项目，新引进35岁以下大学生3.25万人，城镇新增就业3.46万人。开展“安宁疗护”市级试点，完善65岁以上老人基础健康管理。新增婴幼儿成长驿站10个、照护托位543个。启用5A级婚登中心。启动助残省级试点2个。建成区退役军人服务中心(站)118个，形成三级服务保障体系。</w:t>
      </w:r>
      <w:r>
        <w:rPr>
          <w:rFonts w:hint="eastAsia" w:ascii="仿宋_GB2312" w:eastAsia="仿宋_GB2312"/>
          <w:b/>
          <w:bCs/>
          <w:sz w:val="32"/>
          <w:szCs w:val="32"/>
        </w:rPr>
        <w:t>基层治理全面加强。</w:t>
      </w:r>
      <w:r>
        <w:rPr>
          <w:rFonts w:hint="eastAsia" w:ascii="仿宋_GB2312" w:eastAsia="仿宋_GB2312"/>
          <w:sz w:val="32"/>
          <w:szCs w:val="32"/>
        </w:rPr>
        <w:t>启动“钱塘幸福里”现代社区建设，创建未来社区7个，全省率先开发“社工一件事”平台。打造“平安全域智治”应用，统建全市首个“小脑+手脚”指挥调度平台，优化调整基层网格，城郊结合部专项整治取得阶段性进展，刑事治安警情下降19.5%，电诈发案、案损均下降约三分之一，顺利完成重大活动、敏感时段维稳安保工作。临江化工园区整治达到一般风险等级，完成全域街道应急消防管理站建设，设立特种设备检验服务中心，解危城乡自建房61处，各类亡人事故总数持续5年下降。建立资金共管账户，严密防范房地产风险。</w:t>
      </w:r>
      <w:r>
        <w:rPr>
          <w:rFonts w:hint="eastAsia" w:ascii="仿宋_GB2312" w:eastAsia="仿宋_GB2312"/>
          <w:b/>
          <w:bCs/>
          <w:sz w:val="32"/>
          <w:szCs w:val="32"/>
        </w:rPr>
        <w:t>乡村振兴得到深化。</w:t>
      </w:r>
      <w:r>
        <w:rPr>
          <w:rFonts w:hint="eastAsia" w:ascii="仿宋_GB2312" w:eastAsia="仿宋_GB2312"/>
          <w:sz w:val="32"/>
          <w:szCs w:val="32"/>
        </w:rPr>
        <w:t>制定强村富民“双十条”，创建3A级景区村庄3个，新增经营性收入100万元以上村24个，低收入农户增收超10%，“钱塘围垦”未来乡村共富引领带入选市级共富名单。建设绿色蔬菜基地2个，开放农产品品牌馆、麦腾农园，获评省特色产业农业“机器换人”高质量发展先行区。完成“非粮化”工作任务，开工钱塘粮库，关停东江养殖场，实施稻渔综合种养1500亩，新增“千亩粮仓”8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时，已如期完成十方面民生实事。围绕上好学，开竣工中小学、幼儿园项目19个，新增学位5100个，完成公办中小学1730间教室护眼灯改造。围绕破解住房难，完成老旧小区改造2个、“二次供水”项目12个、既有住宅电梯加装42台，创建“美好家园”示范小区9个。开工安置房项目2个，回迁安置2009户，去库存房源18万平方米。筹建共有产权房1000套，筹集保障性租赁住房1.7万套。围绕缓解出行难，打通银海街等断头路3条，已建成道路完成环境提升整治12条。完善公交线路6条，新增定制公交专线6条。围绕生活更便捷，新建口袋公园2个、绿道7.5公里，新增城市书房5家。配置AED设备300台，启用急救培训基地。投用20个区域型微型消防救援站。围绕老有所养、弱有所扶建成公建民营智慧养老院1家，新增认知障碍照护专区床位35张。建成残疾人康复之家5个，新增康养联合体2个、康复站4个。围绕吃得放心，设立农贸市场检测室15个，改造阳光厨房2421家，建设“平安厨房”餐饮单位100家。</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(六)持之以恒转作风、强能力，政府自身建设全面加强。</w:t>
      </w:r>
      <w:r>
        <w:rPr>
          <w:rFonts w:hint="eastAsia" w:ascii="仿宋_GB2312" w:eastAsia="仿宋_GB2312"/>
          <w:b/>
          <w:bCs/>
          <w:sz w:val="32"/>
          <w:szCs w:val="32"/>
        </w:rPr>
        <w:t>政治建设更加有力。</w:t>
      </w:r>
      <w:r>
        <w:rPr>
          <w:rFonts w:hint="eastAsia" w:ascii="仿宋_GB2312" w:eastAsia="仿宋_GB2312"/>
          <w:sz w:val="32"/>
          <w:szCs w:val="32"/>
        </w:rPr>
        <w:t>深入开展党的二十大精神学习宣贯，践行“六学六进六争先”，当好“红色根脉”的传承者、守护者。坚决服从区委全面领导，狠抓“七张问题清单”整改落实，高标准完成各级巡视、巡察和国务院大督查、国家统计督查反馈问题整改。</w:t>
      </w:r>
      <w:r>
        <w:rPr>
          <w:rFonts w:hint="eastAsia" w:ascii="仿宋_GB2312" w:eastAsia="仿宋_GB2312"/>
          <w:b/>
          <w:bCs/>
          <w:sz w:val="32"/>
          <w:szCs w:val="32"/>
        </w:rPr>
        <w:t>依法行政更加深入。</w:t>
      </w:r>
      <w:r>
        <w:rPr>
          <w:rFonts w:hint="eastAsia" w:ascii="仿宋_GB2312" w:eastAsia="仿宋_GB2312"/>
          <w:sz w:val="32"/>
          <w:szCs w:val="32"/>
        </w:rPr>
        <w:t>自觉接受人大及其常委会的法律监督、工作监督和政协的民主监督，认真办理和反馈代表建议110件、委员提案95件。出台《法治钱塘建设规划》，建立府院检联席会议制度，开展“八五”普法。健全基层统计网格，组建专业化行政复议员队伍。</w:t>
      </w:r>
      <w:r>
        <w:rPr>
          <w:rFonts w:hint="eastAsia" w:ascii="仿宋_GB2312" w:eastAsia="仿宋_GB2312"/>
          <w:b/>
          <w:bCs/>
          <w:sz w:val="32"/>
          <w:szCs w:val="32"/>
        </w:rPr>
        <w:t>工作执行更加高效。</w:t>
      </w:r>
      <w:r>
        <w:rPr>
          <w:rFonts w:hint="eastAsia" w:ascii="仿宋_GB2312" w:eastAsia="仿宋_GB2312"/>
          <w:sz w:val="32"/>
          <w:szCs w:val="32"/>
        </w:rPr>
        <w:t>数字化改革成效明显，获省级“五星”评价。新增省级以上改革试点41项，10个应用场景全省推广，全市率先实现政务服务2.0“一网通办”区、街、村社三级贯通。开展国企改革和“平台+”机制建设，完成街道财政体制调整，实行预算一体化管理，获批首个专项债项目，发行全国首单生物医药产业园基础设施公募不动产投资信托基金。开展预决算审计、政府投资项目复核，有效盘活、节约财政资金。</w:t>
      </w:r>
      <w:r>
        <w:rPr>
          <w:rFonts w:hint="eastAsia" w:ascii="仿宋_GB2312" w:eastAsia="仿宋_GB2312"/>
          <w:b/>
          <w:bCs/>
          <w:sz w:val="32"/>
          <w:szCs w:val="32"/>
        </w:rPr>
        <w:t>廉洁从政更加坚定。</w:t>
      </w:r>
      <w:r>
        <w:rPr>
          <w:rFonts w:hint="eastAsia" w:ascii="仿宋_GB2312" w:eastAsia="仿宋_GB2312"/>
          <w:sz w:val="32"/>
          <w:szCs w:val="32"/>
        </w:rPr>
        <w:t>深化政府采购监管，完善PPP管理机制和招投标领域管理办法。推动全面从严治党，落实以案促改、以案促治，健全纠治“四风”长效机制，坚决守住政府工作人员清廉底线。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时，始终努力做好人民武装、民族宗教、外事、侨务、港澳台事务、机关事务、档案管理等工作，始终关心支持工青妇、工商联、社科联、文联、科协、老龄委、老干部、红十字、慈善、关心下一代、文保、地方志等事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位代表，回顾一年来奋斗历程，取得的成绩来之不易。这是以习近平同志为核心的党中央坚强领导的结果，是省委省政府、市委市政府和区委科学决策、正确领导的结果，是全区人民同心同德、共同努力的结果。在此，我代表区人民政府，向在各行各业辛勤劳动的全区人民，特别是三年来一直奋战在疫情防控一线的社区工作者、医务工作者、基层干部群众，致以崇高的敬意！向给予政府工作大力支持的人大代表、政协委员、各民主党派、工商联、无党派人士、各人民团体、离退休老同志，向区内高校、进区管理服务机构、驻区部队、公安干警、消防救援队伍，以及所有关心支持钱塘发展的社会各界人士，表示最衷心的感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时，我们也清醒看到，工作中还有不少问题和挑战，主要表现在：新区体制机制优势不够凸显，辐射带动作用需要增强；高质量发展基础还不牢固，创新策源能力不足，产业链、创新链融合不深，市场主体发展仍面临诸多困难，服务业发展和新兴产业发展有待提速；城市基础配套建设相对滞后，城市发展遗留难题有待破解；一江两岸区域发展不平衡不充分问题依然存在，优质均衡公共服务供给仍需增强；要素供需矛盾较为突出，重点领域和关键环节的改革亟需深化；受经济环境多重影响，财政、金融、国企、房地产等领域风险防范任务依然艰巨，还要紧盯不放；政府系统“最后一公里”还存在堵点，干部队伍作风能力还需进一步提升，等等。对此，我们一定要高度重视，下大力气加以解决。</w:t>
      </w:r>
    </w:p>
    <w:p>
      <w:pPr>
        <w:spacing w:line="560" w:lineRule="exact"/>
        <w:ind w:firstLine="640" w:firstLineChars="200"/>
        <w:outlineLvl w:val="9"/>
        <w:rPr>
          <w:rFonts w:ascii="黑体" w:hAnsi="黑体" w:eastAsia="黑体"/>
          <w:sz w:val="32"/>
          <w:szCs w:val="32"/>
        </w:rPr>
      </w:pPr>
      <w:r>
        <w:rPr>
          <w:rFonts w:hint="eastAsia" w:ascii="黑体" w:hAnsi="黑体" w:eastAsia="黑体"/>
          <w:sz w:val="32"/>
          <w:szCs w:val="32"/>
        </w:rPr>
        <w:t>二、2023年目标任务和重点工作</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各位代表，党的二十大开启了以中国式现代化全面推进中华民族伟大复兴的新征程，钱塘也步入了全面求强、大踏步向现代化迈进的新阶段。当前，我区正处在抢抓战略机遇的关键期、顶风爬坡过坎的紧要期、提升发展能级的窗口期，要充分发挥国家战略叠加、产业基础雄厚、开放创新平台富集等优势，强化前瞻性思考、全局性谋划、系统性推进，按照省委省政府赋予的“四大”战略定位和市委市政府提出“产业新城要创新发展、特色发展、错位发展”的工作要求，用奋斗开创未来，用实干书写辉煌，勇当开路先锋，努力开创新局面。做好2023年工作，</w:t>
      </w:r>
      <w:r>
        <w:rPr>
          <w:rFonts w:hint="eastAsia" w:ascii="黑体" w:hAnsi="黑体" w:eastAsia="黑体"/>
          <w:sz w:val="32"/>
          <w:szCs w:val="32"/>
        </w:rPr>
        <w:t>要坚持以习近平新时代中国特色社会主义思想为指导，忠实践行“八八战略”，深入贯彻落实党的二十大精神和中央、省市各项决策部署，围绕产业新城发展要求，锚定打造现代化国际化一流新区的目标，大力推进全域创新、全域智治、全域美丽、全域共富，持续推动经济质效、发展动能、城市能级、民生事业、开放生态、治理能力的迭代升级，为中国式现代化贡献更多钱塘智慧和钱塘经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综合考虑各方面因素，建议2023年全区经济社会发展主要预期目标为：地区生产总值增长5.5%，服务业增加值增长6%，固定资产投资增长7%，全社会研发投入强度达到4.55%，一般公共预算收入与经济增长基本同步，完成国家和省市下达的能源和环境等约束性指标计划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重点做好八方面工作：</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(一)突出新区功能，扛起使命担当，在彰显特色特质上实现全新突破。</w:t>
      </w:r>
      <w:r>
        <w:rPr>
          <w:rFonts w:hint="eastAsia" w:ascii="仿宋_GB2312" w:eastAsia="仿宋_GB2312"/>
          <w:sz w:val="32"/>
          <w:szCs w:val="32"/>
        </w:rPr>
        <w:t>发挥功能区主战场、主阵地、主力军作用，放大战略叠加优势，高水平推动国家、省市战略取得重大成果。</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提高平台发展竞争力。</w:t>
      </w:r>
      <w:r>
        <w:rPr>
          <w:rFonts w:hint="eastAsia" w:ascii="仿宋_GB2312" w:eastAsia="仿宋_GB2312"/>
          <w:sz w:val="32"/>
          <w:szCs w:val="32"/>
        </w:rPr>
        <w:t>围绕建设全球先进制造业基地主平台，构建“一平台一产业一基金一机构”，加快提升新区综合实力，省级新区排名保持全省第一，经开区排名保持全国前十，高新区排名进入全国前80，综保区保持全国“双A”、杭州关区第一，奋力夺取浙江制造“天工鼎”。融入杭州综合性国家科学中心建设，联动城西科创大走廊，建设城东智造大走廊核心区。联动综保区、自贸区，推动义蓬片区融入杭州临空经济示范区，打造“数字贸易示范区”特色集聚区。加大资源要素倾斜，适度超前建设基础设施，打造配套产业社区，推进园区数字化，提升功能区综合能级。</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开创新区体制新优势。</w:t>
      </w:r>
      <w:r>
        <w:rPr>
          <w:rFonts w:hint="eastAsia" w:ascii="仿宋_GB2312" w:eastAsia="仿宋_GB2312"/>
          <w:sz w:val="32"/>
          <w:szCs w:val="32"/>
        </w:rPr>
        <w:t>推动《杭州钱塘新区条例》落地，市区联动促进“以政强区、以区优政”，凸显新区功能首位度、辨识度。遵循“小政府、大服务”，以三个“一号工程”为牵引，纵深推进为企服务、项目服务、人才服务、便民服务等系统性改革。强化市场机制、绩效管理，健全完善国企运行、要素供给、编制人事等体系性方案。围绕“小切口、大撬动”，稳步扩大跨贸规则、规制、管理、标准等制度型开放，着力培育数字贸易、跨境金融、跨境电商、国际创新协同等开放新形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擦亮新区品牌金名片。</w:t>
      </w:r>
      <w:r>
        <w:rPr>
          <w:rFonts w:hint="eastAsia" w:ascii="仿宋_GB2312" w:eastAsia="仿宋_GB2312"/>
          <w:sz w:val="32"/>
          <w:szCs w:val="32"/>
        </w:rPr>
        <w:t>以杭州经开区获批30周年为契机，全面吹响开发区二次创业号角。持续发挥经开区、高新区基础优势，推动产业链、创新链高水平融合发展，形成“医药港、智能车、芯智造”三大产业集群地标，打造“钱塘智造”品牌。充分立足自贸区、综试区、综保区特色优势，围绕自贸、跨贸、服贸“三贸联动”，以数字内容、数字技术、数字消费和跨境电商为重点，构建数字贸易全产业链，举办数字自贸主题论坛，深化与国际市场接轨、与区域产业联通，打造“钱塘数贸”品牌。准确把握未来产业发展环境优势，落地国家级公共服务平台，承办全国首届元宇宙科技大会，树立长三角制造业元宇宙中心地位，打造“钱塘元宇宙”品牌。</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(二)突出实体经济，力促转型升级，在培育发展现代产业体系上实现全新突破。</w:t>
      </w:r>
      <w:r>
        <w:rPr>
          <w:rFonts w:hint="eastAsia" w:ascii="仿宋_GB2312" w:eastAsia="仿宋_GB2312"/>
          <w:sz w:val="32"/>
          <w:szCs w:val="32"/>
        </w:rPr>
        <w:t>坚持把发展经济的着力点放在实体经济上，加快推进新型工业化，建设制造强区、质量强区、数字强区。</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增强先进制造业核心竞争力。</w:t>
      </w:r>
      <w:r>
        <w:rPr>
          <w:rFonts w:hint="eastAsia" w:ascii="仿宋_GB2312" w:eastAsia="仿宋_GB2312"/>
          <w:sz w:val="32"/>
          <w:szCs w:val="32"/>
        </w:rPr>
        <w:t>制定产业链强链延链补链计划，构建重点产业发展生态圈。提升医药港小镇综合配套，投用医药港加速器五期，生物医药产业产值增长15%。建设MAH产业园，引进持证公司40家。做强做大“芯智造”半导体产业，推进美迪凯光电、士兰微等项目。加快建设生物医药、航天航空两个“万亩千亿”产业新平台。支持、促进汽车制造绿色化、智能化，推进吉利高端新能源车等项目，行业产值达到750亿元。实施“新材料苗圃计划”，组建新材料制造创新中心、性能测试评价中心，建设中试孵化基地。出让工业用地2000亩，新建、续建12个工业综合体和标准厂房项目，制造业投资增长10%以上。攻坚“腾笼换鸟、凤凰涅</w:t>
      </w:r>
      <w:r>
        <w:rPr>
          <w:rFonts w:hint="eastAsia" w:ascii="微软雅黑" w:hAnsi="微软雅黑" w:eastAsia="微软雅黑" w:cs="微软雅黑"/>
          <w:sz w:val="32"/>
          <w:szCs w:val="32"/>
        </w:rPr>
        <w:t>槃</w:t>
      </w:r>
      <w:r>
        <w:rPr>
          <w:rFonts w:hint="eastAsia" w:ascii="仿宋_GB2312" w:hAnsi="仿宋_GB2312" w:eastAsia="仿宋_GB2312" w:cs="仿宋_GB2312"/>
          <w:sz w:val="32"/>
          <w:szCs w:val="32"/>
        </w:rPr>
        <w:t>”，累计完成</w:t>
      </w:r>
      <w:r>
        <w:rPr>
          <w:rFonts w:hint="eastAsia" w:ascii="仿宋_GB2312" w:eastAsia="仿宋_GB2312"/>
          <w:sz w:val="32"/>
          <w:szCs w:val="32"/>
        </w:rPr>
        <w:t>320宗、1.5万亩低效工业用地提质增效，规上工业亩均税收达到40万元以上。</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构建优质高效服务业新体系。</w:t>
      </w:r>
      <w:r>
        <w:rPr>
          <w:rFonts w:hint="eastAsia" w:ascii="仿宋_GB2312" w:eastAsia="仿宋_GB2312"/>
          <w:sz w:val="32"/>
          <w:szCs w:val="32"/>
        </w:rPr>
        <w:t>实施七大重点工程，加快打造“一地三区”。支持制造业企业新设研发、销售总部，积极培育科技研发、软件信息、供应链物流、检验检测、金融保险等生产性服务业。大力发展总部经济、楼宇经济，加快建设总部楼宇9幢，新打造税收亿元楼宇1幢，力争新引进10亿元以上现代服务业重大项目。做强做大美丽经济，引进亿元以上美丽项目4个，打造“城市彩盒”等5个区级直播电商基地，投用华东汽车城、梦马汽车港、万驿广场，加快建设永旺梦乐城、沿江龙湖综合体、环金沙湖商业特色街二期等项目。持续推出“钱塘欢乐购”系列活动，建立钱塘产品白名单制度，提升传统消费，培育新型消费。</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做强做优做大数字经济。</w:t>
      </w:r>
      <w:r>
        <w:rPr>
          <w:rFonts w:hint="eastAsia" w:ascii="仿宋_GB2312" w:eastAsia="仿宋_GB2312"/>
          <w:sz w:val="32"/>
          <w:szCs w:val="32"/>
        </w:rPr>
        <w:t>实施数字经济创新提质“一号发展工程”，推进九大专项行动，加快构建“三区三中心”格局，核心产业增加值增长10%。加快打造元宇宙经济增长极，核心产业营收达到100亿元。支持平台经济规范健康创新发展，引进优质数字企业50家，培育超20亿元数字企业3家。推进制造业、服务业“两业”融合发展，电子信息制造、软件与信息技术服务业营收分别达到650亿元、75亿元。深化“产业大脑+未来工厂”模式，建设工业互联网平台，推动中小企业数字化改造，培育“链主工厂”1家、“智能工厂”5家、“数字化车间”15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体经济是钱塘发展强区之本，企业主体是实体经济根基所在。我们将把惠企服务摆上更加突出位置，推动有效市场、有为政府更好结合，想方设法解决各类困难和问题，为广大企业保好驾、护好航，让广大企业与钱塘同奋进、共成长。</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(三)突出创新驱动，强化人才引领，在打造产才融合示范高地上实现全新突破。</w:t>
      </w:r>
      <w:r>
        <w:rPr>
          <w:rFonts w:hint="eastAsia" w:ascii="仿宋_GB2312" w:eastAsia="仿宋_GB2312"/>
          <w:sz w:val="32"/>
          <w:szCs w:val="32"/>
        </w:rPr>
        <w:t>大力实施产教科才一体强基工程，释放创新资源集聚裂变效应，积蓄支撑钱塘高质量发展的强大新动能，加快建设教育强区、科技强区、人才强区。</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坚持教育优先发展。</w:t>
      </w:r>
      <w:r>
        <w:rPr>
          <w:rFonts w:hint="eastAsia" w:ascii="仿宋_GB2312" w:eastAsia="仿宋_GB2312"/>
          <w:sz w:val="32"/>
          <w:szCs w:val="32"/>
        </w:rPr>
        <w:t>推进“钱塘优学”树形象，开竣工学校12所，新增学位3000个，投用区青少年综合实践基地，一体化运行14个名校教育集团，新增省名优学校10所，力争省测核心指标进入全省前20%，争创全国学前教育普及普惠区、义务教育优质均衡发展区。更好发挥辖区高等教育资源优势，与高校合作开设现代产业学院、产业工程师学院、订单班，大力推动职普融通、产教融合、科教融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打造丰富创新载体。</w:t>
      </w:r>
      <w:r>
        <w:rPr>
          <w:rFonts w:hint="eastAsia" w:ascii="仿宋_GB2312" w:eastAsia="仿宋_GB2312"/>
          <w:sz w:val="32"/>
          <w:szCs w:val="32"/>
        </w:rPr>
        <w:t>加快建设钱塘科学城“五地一窗口”，打造环大学城创新生态圈。建立高校产学研联盟钱塘中心，成立科技成果转移转化人才培养基地，引进校友经济项目180个。支持中科院医学所升级直属所、钱塘科创中心申报国家级实验室转化基地，争创合成生物学国家工程研究中心，做强中欧产业创新中心、军民融合产业园。标准化运营产业园区，完成“三年百园”建设收官，新增市级以上科技孵化器、众创空间10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培育活跃创新主体。</w:t>
      </w:r>
      <w:r>
        <w:rPr>
          <w:rFonts w:hint="eastAsia" w:ascii="仿宋_GB2312" w:eastAsia="仿宋_GB2312"/>
          <w:sz w:val="32"/>
          <w:szCs w:val="32"/>
        </w:rPr>
        <w:t>实施“星河”“星芒”计划，新认定国家高新技术企业180家、“专精特新”企业20家，新增市级概念验证中心1个，高新技术产业投资增长10%。实施“尖兵”“领雁”项目10个，促成产学研合作项目170个，推动实现企业技术改造“两清零一提升”，有效发明专利突破1.75万件。实施博士后倍增、卓越工程师培养计划，引育市级以上领军人才50名、高层次人才项目60个。</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营造良好创新生态。</w:t>
      </w:r>
      <w:r>
        <w:rPr>
          <w:rFonts w:hint="eastAsia" w:ascii="仿宋_GB2312" w:eastAsia="仿宋_GB2312"/>
          <w:sz w:val="32"/>
          <w:szCs w:val="32"/>
        </w:rPr>
        <w:t>打造钱塘创新大厦，建立品牌综合评价体系，深化创新积分试点，新增国家和省知识产权示范企业10家、浙江制造品牌企业8家。完善科创企业上市“全链条”综合服务体系，探索科技成果转化利益分享机制，实现技术交易额45亿元，打造科技成果转移转化首选地先行区。探索“创新金融贷”，新增股权融资100亿元。深化“人才一件事”改革，建设嵌入式产才融合服务中心，组织双创大赛、“人才之夜”等活动，形成识才、聚才、爱才、用才更大合力。</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(四)突出开放合作，扩大有效投资，在服务构建新发展格局上实现全新突破。</w:t>
      </w:r>
      <w:r>
        <w:rPr>
          <w:rFonts w:hint="eastAsia" w:ascii="仿宋_GB2312" w:eastAsia="仿宋_GB2312"/>
          <w:sz w:val="32"/>
          <w:szCs w:val="32"/>
        </w:rPr>
        <w:t>充分利用国内国际两个市场、两种资源，打造国内大循环战略支点、国内国际双循环主要枢纽。</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增强区域一体化发展能级。</w:t>
      </w:r>
      <w:r>
        <w:rPr>
          <w:rFonts w:hint="eastAsia" w:ascii="仿宋_GB2312" w:eastAsia="仿宋_GB2312"/>
          <w:sz w:val="32"/>
          <w:szCs w:val="32"/>
        </w:rPr>
        <w:t>打响综合交通大会战，新建、续建综合交通项目16个，开工建设钱塘高铁站，建成投用下沙港。推动重点区域联通，开工104国道河庄至衙前段、头蓬路-江东大道互通、临江出海码头陆域配套工程一期等项目，加快杭绍甬高速、头蓬快速路、红十五线提升改造等项目建设。积极链接长三角产业要素资源，主动参与杭甬“双城记”、杭嘉一体化，投用上海钱塘中心，打造环杭州湾地区重要增长极。加大与结对、帮扶、协作地区共建合作，推进飞地经济模式成型、互利共赢。</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构建最优营商环境。</w:t>
      </w:r>
      <w:r>
        <w:rPr>
          <w:rFonts w:hint="eastAsia" w:ascii="仿宋_GB2312" w:eastAsia="仿宋_GB2312"/>
          <w:sz w:val="32"/>
          <w:szCs w:val="32"/>
        </w:rPr>
        <w:t>实施营商环境优化提升“一号改革工程”，全面开展“三个十”活动。坚持增量、存量企业并重，政策措施能早则早、能延则延、能出尽出，落实惠企政策“一站式”服务，强化全要素、全周期保障，精准助力民营经济发展。深化信用体系建设，推进企业年报多报合一。优化“综合查一次”工作机制，依法保障企业合法权益。完善多层次金融服务体系，加大贷款贴息、风险补偿、融资担保、上市融资等系统性财政金融支持，产业基金认缴出资突破100亿元，推动企业上市2家。深化“产业大脑”建设，构筑没有围墙的云上产业生态圈。开展“大走访大调研大服务大解题”活动，送干货、见真情。</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加大招商引资力度。</w:t>
      </w:r>
      <w:r>
        <w:rPr>
          <w:rFonts w:hint="eastAsia" w:ascii="仿宋_GB2312" w:eastAsia="仿宋_GB2312"/>
          <w:sz w:val="32"/>
          <w:szCs w:val="32"/>
        </w:rPr>
        <w:t>强化招商引资“一把手”工程，健全部门、平台、国企、街道协调联动“大招商”格局，深入实施“153”招商行动计划，新签约亿元以上项目100个，新设市场主体2万家。推进省“千项万亿”工程，攻坚产业生态圈细分赛道，打好增量拓展、存量挖潜、产才联动、基金撬动、平台借力、中介助力组合拳，签约10亿元以上项目20个，新增市级以上重点产业项目26个。实际利用外资10亿美元。加快实施重点产业项目69个，完成投资74亿元，推动落地项目早开工、早竣工、早贡献。</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提升开放型经济质效。</w:t>
      </w:r>
      <w:r>
        <w:rPr>
          <w:rFonts w:hint="eastAsia" w:ascii="仿宋_GB2312" w:eastAsia="仿宋_GB2312"/>
          <w:sz w:val="32"/>
          <w:szCs w:val="32"/>
        </w:rPr>
        <w:t>实施地瓜经济提能升级“一号开放工程”，探索多式联运体系，设立海外知识产权纠纷应对指导中心，助力企业抢订单、争市场，货物贸易进出口巩固回升。打造特色服务出口基地，加快建设国际数字贸易港、天瑞金科技园，精准支持制造业数字化“品牌出海”。打造一站式物流服务平台，推出跨境电商进口超期退货中心，推进跨境电商OTC药械进口试点，加快发展跨境直播，跨境电商出口增长10%。高水平布局、运营境外Q-Bay中心和国际产业园，推进中新、中非合作产业园建设。</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(五)突出全域统筹，提升功能品质，在走好城市化建设道路上实现全新突破。</w:t>
      </w:r>
      <w:r>
        <w:rPr>
          <w:rFonts w:hint="eastAsia" w:ascii="仿宋_GB2312" w:eastAsia="仿宋_GB2312"/>
          <w:sz w:val="32"/>
          <w:szCs w:val="32"/>
        </w:rPr>
        <w:t>深入实施以人为核心的新型城镇化战略，以产兴城、以城促产、产城深度融合，加快建设现代化产业新城。</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高水平开展城市规划。</w:t>
      </w:r>
      <w:r>
        <w:rPr>
          <w:rFonts w:hint="eastAsia" w:ascii="仿宋_GB2312" w:eastAsia="仿宋_GB2312"/>
          <w:sz w:val="32"/>
          <w:szCs w:val="32"/>
        </w:rPr>
        <w:t>实施规划攻坚年行动，加快国土空间分区规划编制和重点单元控规修编，推进河庄北、义蓬北等乡村单元详规编制，开展职住平衡、慢行系统等7个专项规划和课题研究，区科技馆、文化馆、青少年活动中心等重大公建项目实现规划落地。开展跨街道全域整治试点，完善飞地指标调剂合作，加快消化历年批而未供土地，争取项目用地保障2500亩。</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高标准完善城市基础设施。</w:t>
      </w:r>
      <w:r>
        <w:rPr>
          <w:rFonts w:hint="eastAsia" w:ascii="仿宋_GB2312" w:eastAsia="仿宋_GB2312"/>
          <w:sz w:val="32"/>
          <w:szCs w:val="32"/>
        </w:rPr>
        <w:t>开竣工主次干道、支小路15条，提升改造公路4条，打通断头路3条。新开通求知专线8条，优化服务薄弱片区公交线路4条，科学设定公交运行时间。新增停车泊位5000个，治理交通堵点3个。开竣工电力项目6个。新建雨、污水管网10公里，开工海绵城市项目15个，建成易腐垃圾处置、再生资源分拣中心。实施水务和燃气一体化改革，改善城市配套服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高质效推进城市更新。</w:t>
      </w:r>
      <w:r>
        <w:rPr>
          <w:rFonts w:hint="eastAsia" w:ascii="仿宋_GB2312" w:eastAsia="仿宋_GB2312"/>
          <w:sz w:val="32"/>
          <w:szCs w:val="32"/>
        </w:rPr>
        <w:t>加快“一带两城”建设，实施海塘安澜工程、江滨亚运主题公园和沿江湿地公园改造提升；完成东部湾新城三大启动区块土地收储，开工建设青聚中心、科创中心、高创中心；实施江海之城青西三路TOD片区开发，完成东沙湖公园“三道”项目和东沙湖一期湖岸景观工程。差异化推进房地产开发，探索新型房地产开发模式。全力攻坚历史遗留问题，完成景园小区整体搬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高品质提升城市环境。</w:t>
      </w:r>
      <w:r>
        <w:rPr>
          <w:rFonts w:hint="eastAsia" w:ascii="仿宋_GB2312" w:eastAsia="仿宋_GB2312"/>
          <w:sz w:val="32"/>
          <w:szCs w:val="32"/>
        </w:rPr>
        <w:t>深化“美丽杭州迎亚运”行动，全面落实城市养护体制改革，完成亚运场馆周边重点区块环境提升，创建省级风貌样板区1个。建设公园城市，滚动整治、盘活闲置空地，新建、改建公园6个、绿道4公里，新增绿地60万平方米。实行城市运行风险日常检测，常态化实施河道轮疏，完成雨水管网清淤疏浚810公里，提高城市韧性。</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(六)突出繁荣文化，抢抓亚运机遇，在增强发展软实力上实现全新突破。</w:t>
      </w:r>
      <w:r>
        <w:rPr>
          <w:rFonts w:hint="eastAsia" w:ascii="仿宋_GB2312" w:eastAsia="仿宋_GB2312"/>
          <w:sz w:val="32"/>
          <w:szCs w:val="32"/>
        </w:rPr>
        <w:t>坚持以社会主义核心价值观为引领，推进文化自信自强，深化全国文明典范城市创建，展现文化强区的时代特征和独特影响力。</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全面放大亚运效应。</w:t>
      </w:r>
      <w:r>
        <w:rPr>
          <w:rFonts w:hint="eastAsia" w:ascii="仿宋_GB2312" w:eastAsia="仿宋_GB2312"/>
          <w:sz w:val="32"/>
          <w:szCs w:val="32"/>
        </w:rPr>
        <w:t>贯彻“简约、安全、精彩”理念，精益求精做好亚运会和亚残运会赛事筹备、服务、保障工作，打造标志性成果。强化城市“金角银边”利用，新增嵌入式体育场地2.3万平方米，组织百场以上亚运主题活动和群众性体育赛事，打造轮滑赛事品牌，营造亚运浓厚氛围。做好“后亚运”场馆惠民开放、文化记忆留存、精神价值挖掘，留下亚运深刻印记。</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全面加强文化建设。</w:t>
      </w:r>
      <w:r>
        <w:rPr>
          <w:rFonts w:hint="eastAsia" w:ascii="仿宋_GB2312" w:eastAsia="仿宋_GB2312"/>
          <w:sz w:val="32"/>
          <w:szCs w:val="32"/>
        </w:rPr>
        <w:t>擦亮“浙江有礼·礼善钱塘”文明实践品牌，高质量举办钱塘文化节。投用金沙湖大剧院、区文体中心(图书馆)，开放城市书房、文化驿站各5家，打造15分钟品质文化生活圈67个。推进文旅融合，加快南沙大堤文化带开发，推出精品旅游线5条，让“钱塘人游钱塘”成为时尚。打响“潮钱塘向未来”文创品牌，重点培育动漫游戏、影视传媒、创意设计等新业态，规上文化企业总数突破80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全面凸显青春元素。</w:t>
      </w:r>
      <w:r>
        <w:rPr>
          <w:rFonts w:hint="eastAsia" w:ascii="仿宋_GB2312" w:eastAsia="仿宋_GB2312"/>
          <w:sz w:val="32"/>
          <w:szCs w:val="32"/>
        </w:rPr>
        <w:t>实施中长期青年发展规划，加快建设青年发展型标杆城区，新增35岁以下大学生3.75万人。塑造工匠精神，建设技能人员产业园和人才街区，新培育技能人才1万名。推陈出新白洋桥青潮园、白蓝地文创街区，推出开放式潮流文化街区，精心策划潮人集聚地和网红打卡地，打造年轻人向往的“青春之城”。全面运行“亚运青年V站”，彰显钱塘青春时尚魅力。</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(七)突出绿色发展，建设美丽新区，在促进人与自然和谐共生上实现全新突破。</w:t>
      </w:r>
      <w:r>
        <w:rPr>
          <w:rFonts w:hint="eastAsia" w:ascii="仿宋_GB2312" w:eastAsia="仿宋_GB2312"/>
          <w:sz w:val="32"/>
          <w:szCs w:val="32"/>
        </w:rPr>
        <w:t>牢固树立和践行绿水青山就是金山银山理念，尽全力保护好钱塘发展的生态底色。</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加快绿色低碳发展。</w:t>
      </w:r>
      <w:r>
        <w:rPr>
          <w:rFonts w:hint="eastAsia" w:ascii="仿宋_GB2312" w:eastAsia="仿宋_GB2312"/>
          <w:sz w:val="32"/>
          <w:szCs w:val="32"/>
        </w:rPr>
        <w:t>全域推广可再生能源集中供能，全面推动储能项目建设，重点推进“两城”范围集中冷暖供应示范项目，稳妥推进“煤改气”“气改电”。布局集中式、分布式光伏电站，新增光伏并网装机4万千瓦。完成10万平方米公共建筑、下沙全域1.5万盏路灯节能改造。打造清新工业园区，大创小镇创建国家绿色低碳产业园，临江高科园加快建设零碳科技城。</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改善区域生态质量。</w:t>
      </w:r>
      <w:r>
        <w:rPr>
          <w:rFonts w:hint="eastAsia" w:ascii="仿宋_GB2312" w:eastAsia="仿宋_GB2312"/>
          <w:sz w:val="32"/>
          <w:szCs w:val="32"/>
        </w:rPr>
        <w:t>持续打好蓝天、碧水、净土、清废保卫战，争创省级生态文明建设示范区。编制水环境质量提升规划，推动“区域划分、流域共治”，推进落后印染企业淘汰提升，市控以上水质断面Ⅲ类及以上比例达到100%，争创“大禹鼎”。大力削减挥发性有机物排放，确保空气质量优良率达80%以上。落实开展全国第三次土壤普查，严格耕地土壤分类管理，保障受污染耕地、重点建设用地安全利用。实施排污许可一证式管理、“规划环评+项目环评”试点，推动危废经营单位污染责任险全覆盖。</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推进生态保护和修复。</w:t>
      </w:r>
      <w:r>
        <w:rPr>
          <w:rFonts w:hint="eastAsia" w:ascii="仿宋_GB2312" w:eastAsia="仿宋_GB2312"/>
          <w:sz w:val="32"/>
          <w:szCs w:val="32"/>
        </w:rPr>
        <w:t>编制江海湿地核心区保护方案，打造二十工段湿地服务中心、“第一缕阳光”打卡点，展现“湿地水城”别样风采。创建“美丽河湖”1个，新建、改建农污水处理设施52个。贯通“耕地智保”和“天巡地查”系统，强化“一张网”耕地保护监管。</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(八)突出民生关切，创造美好生活，在打造共同富裕示范区样板上实现全新突破。</w:t>
      </w:r>
      <w:r>
        <w:rPr>
          <w:rFonts w:hint="eastAsia" w:ascii="仿宋_GB2312" w:eastAsia="仿宋_GB2312"/>
          <w:sz w:val="32"/>
          <w:szCs w:val="32"/>
        </w:rPr>
        <w:t>坚持在发展中保障和改善民生，秉持为民之心，加快建设共同富裕、普惠共享的幸福新区。</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加快节奏发展健康事业。</w:t>
      </w:r>
      <w:r>
        <w:rPr>
          <w:rFonts w:hint="eastAsia" w:ascii="仿宋_GB2312" w:eastAsia="仿宋_GB2312"/>
          <w:sz w:val="32"/>
          <w:szCs w:val="32"/>
        </w:rPr>
        <w:t>实施“健康钱塘”三年行动计划，争创全国健康促进区。推动省公共卫生临床中心落地建设，支持社卫中心特色发展，改扩建社区卫生服务站点6个，推动建设区检验检测中心，启动妇女儿童活动中心项目。加快“大社区养老”和托幼一体化，新增成长驿站6座、托位560个、家庭养老床位300张，优化便民助餐服务。深化卫健英才计划，试点高级职称全城统筹。科学开展疫情防控，增强全民个人防护意识，加强重点人群、重点场所保障，全力以赴保健康、防重症，严守群众生命健康安全底线。</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脚踏实地改善民生保障。</w:t>
      </w:r>
      <w:r>
        <w:rPr>
          <w:rFonts w:hint="eastAsia" w:ascii="仿宋_GB2312" w:eastAsia="仿宋_GB2312"/>
          <w:sz w:val="32"/>
          <w:szCs w:val="32"/>
        </w:rPr>
        <w:t>滚动建设人才房、公租房、共有产权房，供应各类保障性住房4000套以上。完成老旧小区改造6个、“二次供水”项目5个。新开工安置房100万平方米，竣工13.7万平方米，续建122万平方米，完成新湾新龙片安置小区一期回迁安置。深入开展无欠薪行动，加强灵活就业和新就业形态劳动者权益保障，城镇新增就业3万人。建立征地养老保险指标核拨使用管理制度，落实闭环管理。探索“互联网+”居家康复服务，打造残疾人技能培训基地1个，推动全模式无障碍设施建设。建立三级慈善服务网络，培育社区发展基金会1家。健全完善“阳光安置”，打造双拥文化公园，争创省首批双拥模范城区。</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多措并举推进农业农村现代化。</w:t>
      </w:r>
      <w:r>
        <w:rPr>
          <w:rFonts w:hint="eastAsia" w:ascii="仿宋_GB2312" w:eastAsia="仿宋_GB2312"/>
          <w:sz w:val="32"/>
          <w:szCs w:val="32"/>
        </w:rPr>
        <w:t>深化农业标准地改革，推进农地集中流转，完善农业配套设施建设，打造高标准农田示范区2000亩，建设种子种业基地、种业创新中心。探索数字化牧场、工厂化水产养殖。建立现代农业经营服务体系，建成省级农事服务中心2个，筹建区供销集团，成立“农创客”发展联合会。深化强村富民集成改革，探索强村公司模式，支持农业特色小镇建设，建设共富加油站5家，加快推进留用地指标落地、统筹开发，村级经营性收入全部达到100万元以上。推动美丽城镇省级样板全覆盖，开通“钱塘真有趣”农旅线，打造未来乡村1个，争创省A级景区村庄3个。营造江东片区“五纵五横”主干道大田景观，新建、改建农村公路8公里。完善宅基地用地建房审批管理。</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系统高效健全社会治理。</w:t>
      </w:r>
      <w:r>
        <w:rPr>
          <w:rFonts w:hint="eastAsia" w:ascii="仿宋_GB2312" w:eastAsia="仿宋_GB2312"/>
          <w:sz w:val="32"/>
          <w:szCs w:val="32"/>
        </w:rPr>
        <w:t>夯实平安钱塘基础，开展平安护航亚运和“枫桥经验”60周年纪念活动，构建平安联动体系、“四治融合”模式，提升数字智治能力，打造人人有责、人人尽责、人人享有的社会治理共同体。加大类P2P企业监管，强化群体性风险隐患源头治理。深化打防电信网络诈骗，确保电诈发案、案损持续下降。启用区社会治理中心，推进信访积案动态清零。深化“融合型大社区大单元”建设，升级“共富农房”社会治理功能，完成治安领域重点整治村社摘牌，打造省级未来社区6个，争创省现代社区建设示范区。推进强社惠民攻坚，探索资产复合利用模式，调整优化社区规模。实施“主体责任深化年、本质安全提升年、能力素养跃进年”行动，开展重点隐患领域专项治理，确保不发生较大及以上生产安全事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各位代表，民之所望、政之所向。为切实解决人民群众急难愁盼问题，经公开征集和反复论证，区政府梳理了12件候选民生实事项目，经全体人大代表投票表决，确定</w:t>
      </w:r>
      <w:r>
        <w:rPr>
          <w:rFonts w:ascii="仿宋_GB2312" w:eastAsia="仿宋_GB2312"/>
          <w:sz w:val="32"/>
          <w:szCs w:val="32"/>
        </w:rPr>
        <w:t>10件民生实事项目分别为：</w:t>
      </w:r>
    </w:p>
    <w:p>
      <w:pPr>
        <w:spacing w:line="560" w:lineRule="exact"/>
        <w:ind w:firstLine="643" w:firstLineChars="200"/>
        <w:rPr>
          <w:rFonts w:ascii="仿宋_GB2312" w:eastAsia="仿宋_GB2312"/>
          <w:sz w:val="32"/>
          <w:szCs w:val="32"/>
        </w:rPr>
      </w:pPr>
      <w:r>
        <w:rPr>
          <w:rFonts w:ascii="仿宋_GB2312" w:eastAsia="仿宋_GB2312"/>
          <w:b/>
          <w:bCs/>
          <w:sz w:val="32"/>
          <w:szCs w:val="32"/>
        </w:rPr>
        <w:t>1.学生健康项目。</w:t>
      </w:r>
      <w:r>
        <w:rPr>
          <w:rFonts w:hint="eastAsia" w:ascii="仿宋_GB2312" w:eastAsia="仿宋_GB2312"/>
          <w:sz w:val="32"/>
          <w:szCs w:val="32"/>
        </w:rPr>
        <w:t>全区</w:t>
      </w:r>
      <w:r>
        <w:rPr>
          <w:rFonts w:ascii="仿宋_GB2312" w:eastAsia="仿宋_GB2312"/>
          <w:sz w:val="32"/>
          <w:szCs w:val="32"/>
        </w:rPr>
        <w:t xml:space="preserve">44 </w:t>
      </w:r>
      <w:r>
        <w:rPr>
          <w:rFonts w:hint="eastAsia" w:ascii="仿宋_GB2312" w:eastAsia="仿宋_GB2312"/>
          <w:sz w:val="32"/>
          <w:szCs w:val="32"/>
        </w:rPr>
        <w:t>所中小学</w:t>
      </w:r>
      <w:r>
        <w:rPr>
          <w:rFonts w:ascii="仿宋_GB2312" w:eastAsia="仿宋_GB2312"/>
          <w:sz w:val="32"/>
          <w:szCs w:val="32"/>
        </w:rPr>
        <w:t>57000名学生实现</w:t>
      </w:r>
      <w:r>
        <w:rPr>
          <w:rFonts w:hint="eastAsia" w:ascii="仿宋_GB2312" w:eastAsia="仿宋_GB2312"/>
          <w:sz w:val="32"/>
          <w:szCs w:val="32"/>
        </w:rPr>
        <w:t>午休“舒心躺睡”</w:t>
      </w:r>
      <w:r>
        <w:rPr>
          <w:rFonts w:ascii="仿宋_GB2312" w:eastAsia="仿宋_GB2312"/>
          <w:sz w:val="32"/>
          <w:szCs w:val="32"/>
        </w:rPr>
        <w:t>,开展儿童青少年正脊行动,全覆盖筛查义务教育</w:t>
      </w:r>
      <w:r>
        <w:rPr>
          <w:rFonts w:hint="eastAsia" w:ascii="仿宋_GB2312" w:eastAsia="仿宋_GB2312"/>
          <w:sz w:val="32"/>
          <w:szCs w:val="32"/>
        </w:rPr>
        <w:t>段学生</w:t>
      </w:r>
      <w:r>
        <w:rPr>
          <w:rFonts w:ascii="仿宋_GB2312" w:eastAsia="仿宋_GB2312"/>
          <w:sz w:val="32"/>
          <w:szCs w:val="32"/>
        </w:rPr>
        <w:t>57000名。</w:t>
      </w:r>
    </w:p>
    <w:p>
      <w:pPr>
        <w:spacing w:line="560" w:lineRule="exact"/>
        <w:ind w:firstLine="643" w:firstLineChars="200"/>
        <w:rPr>
          <w:rFonts w:ascii="仿宋_GB2312" w:eastAsia="仿宋_GB2312"/>
          <w:sz w:val="32"/>
          <w:szCs w:val="32"/>
        </w:rPr>
      </w:pPr>
      <w:r>
        <w:rPr>
          <w:rFonts w:ascii="仿宋_GB2312" w:eastAsia="仿宋_GB2312"/>
          <w:b/>
          <w:bCs/>
          <w:sz w:val="32"/>
          <w:szCs w:val="32"/>
        </w:rPr>
        <w:t>2.教育均衡项目。</w:t>
      </w:r>
      <w:r>
        <w:rPr>
          <w:rFonts w:hint="eastAsia" w:ascii="仿宋_GB2312" w:eastAsia="仿宋_GB2312"/>
          <w:sz w:val="32"/>
          <w:szCs w:val="32"/>
        </w:rPr>
        <w:t>新开工中小学、幼儿园</w:t>
      </w:r>
      <w:r>
        <w:rPr>
          <w:rFonts w:ascii="仿宋_GB2312" w:eastAsia="仿宋_GB2312"/>
          <w:sz w:val="32"/>
          <w:szCs w:val="32"/>
        </w:rPr>
        <w:t>6所,建成并投用 6所以上,新增学位3000个,投用标准化特殊教育学校1所,新增区级青少年</w:t>
      </w:r>
      <w:r>
        <w:rPr>
          <w:rFonts w:hint="eastAsia" w:ascii="仿宋_GB2312" w:eastAsia="仿宋_GB2312"/>
          <w:sz w:val="32"/>
          <w:szCs w:val="32"/>
        </w:rPr>
        <w:t>宫教学点</w:t>
      </w:r>
      <w:r>
        <w:rPr>
          <w:rFonts w:ascii="仿宋_GB2312" w:eastAsia="仿宋_GB2312"/>
          <w:sz w:val="32"/>
          <w:szCs w:val="32"/>
        </w:rPr>
        <w:t xml:space="preserve">1个(新湾中心) ,提升改造中小学、幼儿园 6所。 </w:t>
      </w:r>
    </w:p>
    <w:p>
      <w:pPr>
        <w:spacing w:line="560" w:lineRule="exact"/>
        <w:ind w:firstLine="643" w:firstLineChars="200"/>
        <w:rPr>
          <w:rFonts w:ascii="仿宋_GB2312" w:eastAsia="仿宋_GB2312"/>
          <w:sz w:val="32"/>
          <w:szCs w:val="32"/>
        </w:rPr>
      </w:pPr>
      <w:r>
        <w:rPr>
          <w:rFonts w:ascii="仿宋_GB2312" w:eastAsia="仿宋_GB2312"/>
          <w:b/>
          <w:bCs/>
          <w:sz w:val="32"/>
          <w:szCs w:val="32"/>
        </w:rPr>
        <w:t>3.小区改造项目。</w:t>
      </w:r>
      <w:r>
        <w:rPr>
          <w:rFonts w:hint="eastAsia" w:ascii="仿宋_GB2312" w:eastAsia="仿宋_GB2312"/>
          <w:sz w:val="32"/>
          <w:szCs w:val="32"/>
        </w:rPr>
        <w:t>开工老旧小区改造</w:t>
      </w:r>
      <w:r>
        <w:rPr>
          <w:rFonts w:ascii="仿宋_GB2312" w:eastAsia="仿宋_GB2312"/>
          <w:sz w:val="32"/>
          <w:szCs w:val="32"/>
        </w:rPr>
        <w:t>6个,完工老旧小区改造7个,启动100台</w:t>
      </w:r>
      <w:r>
        <w:rPr>
          <w:rFonts w:hint="eastAsia" w:ascii="仿宋_GB2312" w:eastAsia="仿宋_GB2312"/>
          <w:sz w:val="32"/>
          <w:szCs w:val="32"/>
        </w:rPr>
        <w:t>既有住宅电梯加装的前期工作</w:t>
      </w:r>
      <w:r>
        <w:rPr>
          <w:rFonts w:ascii="仿宋_GB2312" w:eastAsia="仿宋_GB2312"/>
          <w:sz w:val="32"/>
          <w:szCs w:val="32"/>
        </w:rPr>
        <w:t>,完成加装45台;启动实施居民住宅小区二次供水设施改造10个,完成5个。</w:t>
      </w:r>
    </w:p>
    <w:p>
      <w:pPr>
        <w:spacing w:line="560" w:lineRule="exact"/>
        <w:ind w:firstLine="643" w:firstLineChars="200"/>
        <w:rPr>
          <w:rFonts w:ascii="仿宋_GB2312" w:eastAsia="仿宋_GB2312"/>
          <w:sz w:val="32"/>
          <w:szCs w:val="32"/>
        </w:rPr>
      </w:pPr>
      <w:r>
        <w:rPr>
          <w:rFonts w:ascii="仿宋_GB2312" w:eastAsia="仿宋_GB2312"/>
          <w:b/>
          <w:bCs/>
          <w:sz w:val="32"/>
          <w:szCs w:val="32"/>
        </w:rPr>
        <w:t>4.住房保障项目。</w:t>
      </w:r>
      <w:r>
        <w:rPr>
          <w:rFonts w:hint="eastAsia" w:ascii="仿宋_GB2312" w:eastAsia="仿宋_GB2312"/>
          <w:sz w:val="32"/>
          <w:szCs w:val="32"/>
        </w:rPr>
        <w:t>开工回迁安置小区</w:t>
      </w:r>
      <w:r>
        <w:rPr>
          <w:rFonts w:ascii="仿宋_GB2312" w:eastAsia="仿宋_GB2312"/>
          <w:sz w:val="32"/>
          <w:szCs w:val="32"/>
        </w:rPr>
        <w:t>2个,完工回迁安置小区1个,建设筹集保障性租赁住房8300套(间),筹建共有产权房项目1个,开工公租房项目2个,开工人才专项租赁房项目1个。</w:t>
      </w:r>
    </w:p>
    <w:p>
      <w:pPr>
        <w:spacing w:line="560" w:lineRule="exact"/>
        <w:ind w:firstLine="643" w:firstLineChars="200"/>
        <w:rPr>
          <w:rFonts w:ascii="仿宋_GB2312" w:eastAsia="仿宋_GB2312"/>
          <w:sz w:val="32"/>
          <w:szCs w:val="32"/>
        </w:rPr>
      </w:pPr>
      <w:r>
        <w:rPr>
          <w:rFonts w:ascii="仿宋_GB2312" w:eastAsia="仿宋_GB2312"/>
          <w:b/>
          <w:bCs/>
          <w:sz w:val="32"/>
          <w:szCs w:val="32"/>
        </w:rPr>
        <w:t>5.托幼照护项目。</w:t>
      </w:r>
      <w:r>
        <w:rPr>
          <w:rFonts w:ascii="仿宋_GB2312" w:eastAsia="仿宋_GB2312"/>
          <w:sz w:val="32"/>
          <w:szCs w:val="32"/>
        </w:rPr>
        <w:t xml:space="preserve"> 推进托幼一体化优学,鼓励有条件的幼儿园开设面向2-3岁婴幼儿的托班,提供</w:t>
      </w:r>
      <w:r>
        <w:rPr>
          <w:rFonts w:hint="eastAsia" w:ascii="仿宋_GB2312" w:eastAsia="仿宋_GB2312"/>
          <w:sz w:val="32"/>
          <w:szCs w:val="32"/>
        </w:rPr>
        <w:t>公办托位不少于</w:t>
      </w:r>
      <w:r>
        <w:rPr>
          <w:rFonts w:ascii="仿宋_GB2312" w:eastAsia="仿宋_GB2312"/>
          <w:sz w:val="32"/>
          <w:szCs w:val="32"/>
        </w:rPr>
        <w:t xml:space="preserve">300个;新增婴幼儿成长驿站6家,其中示范型不少于4家。 </w:t>
      </w:r>
    </w:p>
    <w:p>
      <w:pPr>
        <w:spacing w:line="560" w:lineRule="exact"/>
        <w:ind w:firstLine="643" w:firstLineChars="200"/>
        <w:rPr>
          <w:rFonts w:ascii="仿宋_GB2312" w:eastAsia="仿宋_GB2312"/>
          <w:sz w:val="32"/>
          <w:szCs w:val="32"/>
        </w:rPr>
      </w:pPr>
      <w:r>
        <w:rPr>
          <w:rFonts w:ascii="仿宋_GB2312" w:eastAsia="仿宋_GB2312"/>
          <w:b/>
          <w:bCs/>
          <w:sz w:val="32"/>
          <w:szCs w:val="32"/>
        </w:rPr>
        <w:t>6.养老服务项目。</w:t>
      </w:r>
      <w:r>
        <w:rPr>
          <w:rFonts w:hint="eastAsia" w:ascii="仿宋_GB2312" w:eastAsia="仿宋_GB2312"/>
          <w:sz w:val="32"/>
          <w:szCs w:val="32"/>
        </w:rPr>
        <w:t>建设</w:t>
      </w:r>
      <w:r>
        <w:rPr>
          <w:rFonts w:ascii="仿宋_GB2312" w:eastAsia="仿宋_GB2312"/>
          <w:sz w:val="32"/>
          <w:szCs w:val="32"/>
        </w:rPr>
        <w:t xml:space="preserve">300张家庭养老床位,为全区80周岁以上独居、空巢、孤寡及失能老人家庭配备智能门磁、红外监测等安居守护套件,对居家老年人进行安居守护,实现主动发现,主动关怀、智能守护;为10000名70周岁以上老年人免费接种流感疫苗。 </w:t>
      </w:r>
    </w:p>
    <w:p>
      <w:pPr>
        <w:spacing w:line="560" w:lineRule="exact"/>
        <w:ind w:firstLine="643" w:firstLineChars="200"/>
        <w:rPr>
          <w:rFonts w:ascii="仿宋_GB2312" w:eastAsia="仿宋_GB2312"/>
          <w:sz w:val="32"/>
          <w:szCs w:val="32"/>
        </w:rPr>
      </w:pPr>
      <w:r>
        <w:rPr>
          <w:rFonts w:ascii="仿宋_GB2312" w:eastAsia="仿宋_GB2312"/>
          <w:b/>
          <w:bCs/>
          <w:sz w:val="32"/>
          <w:szCs w:val="32"/>
        </w:rPr>
        <w:t>7.环境提升项目。</w:t>
      </w:r>
      <w:r>
        <w:rPr>
          <w:rFonts w:ascii="仿宋_GB2312" w:eastAsia="仿宋_GB2312"/>
          <w:sz w:val="32"/>
          <w:szCs w:val="32"/>
        </w:rPr>
        <w:t xml:space="preserve"> 加快沿江环境综合整治提升,建成并投用亚运江滨主题公园;新建和改造口袋公园5个;加快嵌入</w:t>
      </w:r>
      <w:r>
        <w:rPr>
          <w:rFonts w:hint="eastAsia" w:ascii="仿宋_GB2312" w:eastAsia="仿宋_GB2312"/>
          <w:sz w:val="32"/>
          <w:szCs w:val="32"/>
        </w:rPr>
        <w:t>式体育设施建设</w:t>
      </w:r>
      <w:r>
        <w:rPr>
          <w:rFonts w:ascii="仿宋_GB2312" w:eastAsia="仿宋_GB2312"/>
          <w:sz w:val="32"/>
          <w:szCs w:val="32"/>
        </w:rPr>
        <w:t xml:space="preserve">,完成新增嵌入式体育场地面积22600平方米(点位不少于15处) </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ascii="仿宋_GB2312" w:eastAsia="仿宋_GB2312"/>
          <w:b/>
          <w:bCs/>
          <w:sz w:val="32"/>
          <w:szCs w:val="32"/>
        </w:rPr>
        <w:t>8.蓝领成才项目。</w:t>
      </w:r>
      <w:r>
        <w:rPr>
          <w:rFonts w:hint="eastAsia" w:ascii="仿宋_GB2312" w:eastAsia="仿宋_GB2312"/>
          <w:sz w:val="32"/>
          <w:szCs w:val="32"/>
        </w:rPr>
        <w:t>开展蓝领成才职工技能培训</w:t>
      </w:r>
      <w:r>
        <w:rPr>
          <w:rFonts w:ascii="仿宋_GB2312" w:eastAsia="仿宋_GB2312"/>
          <w:sz w:val="32"/>
          <w:szCs w:val="32"/>
        </w:rPr>
        <w:t>2000人;开展职业技能培训12900人次以上,新增技能人才6400人,其中新增高技能人才3200人。</w:t>
      </w:r>
    </w:p>
    <w:p>
      <w:pPr>
        <w:spacing w:line="560" w:lineRule="exact"/>
        <w:ind w:firstLine="643" w:firstLineChars="200"/>
        <w:rPr>
          <w:rFonts w:ascii="仿宋_GB2312" w:eastAsia="仿宋_GB2312"/>
          <w:sz w:val="32"/>
          <w:szCs w:val="32"/>
        </w:rPr>
      </w:pPr>
      <w:r>
        <w:rPr>
          <w:rFonts w:ascii="仿宋_GB2312" w:eastAsia="仿宋_GB2312"/>
          <w:b/>
          <w:bCs/>
          <w:sz w:val="32"/>
          <w:szCs w:val="32"/>
        </w:rPr>
        <w:t>9.道路畅通项目。</w:t>
      </w:r>
      <w:r>
        <w:rPr>
          <w:rFonts w:hint="eastAsia" w:ascii="仿宋_GB2312" w:eastAsia="仿宋_GB2312"/>
          <w:sz w:val="32"/>
          <w:szCs w:val="32"/>
        </w:rPr>
        <w:t>实施“断头路”打通工程</w:t>
      </w:r>
      <w:r>
        <w:rPr>
          <w:rFonts w:ascii="仿宋_GB2312" w:eastAsia="仿宋_GB2312"/>
          <w:sz w:val="32"/>
          <w:szCs w:val="32"/>
        </w:rPr>
        <w:t>,新开工秀水街(江涛路</w:t>
      </w:r>
      <w:r>
        <w:rPr>
          <w:rFonts w:hint="eastAsia" w:ascii="仿宋_GB2312" w:eastAsia="仿宋_GB2312"/>
          <w:sz w:val="32"/>
          <w:szCs w:val="32"/>
        </w:rPr>
        <w:t>以东</w:t>
      </w:r>
      <w:r>
        <w:rPr>
          <w:rFonts w:ascii="仿宋_GB2312" w:eastAsia="仿宋_GB2312"/>
          <w:sz w:val="32"/>
          <w:szCs w:val="32"/>
        </w:rPr>
        <w:t>)</w:t>
      </w:r>
      <w:r>
        <w:rPr>
          <w:rFonts w:hint="eastAsia" w:ascii="仿宋_GB2312" w:eastAsia="仿宋_GB2312"/>
          <w:sz w:val="32"/>
          <w:szCs w:val="32"/>
        </w:rPr>
        <w:t>道路工程、宝龙南侧道路南延伸</w:t>
      </w:r>
      <w:r>
        <w:rPr>
          <w:rFonts w:ascii="仿宋_GB2312" w:eastAsia="仿宋_GB2312"/>
          <w:sz w:val="32"/>
          <w:szCs w:val="32"/>
        </w:rPr>
        <w:t>(</w:t>
      </w:r>
      <w:r>
        <w:rPr>
          <w:rFonts w:hint="eastAsia" w:ascii="仿宋_GB2312" w:eastAsia="仿宋_GB2312"/>
          <w:sz w:val="32"/>
          <w:szCs w:val="32"/>
        </w:rPr>
        <w:t>青龙路</w:t>
      </w:r>
      <w:r>
        <w:rPr>
          <w:rFonts w:ascii="仿宋_GB2312" w:eastAsia="仿宋_GB2312"/>
          <w:sz w:val="32"/>
          <w:szCs w:val="32"/>
        </w:rPr>
        <w:t xml:space="preserve">-塘新线)等5条道路,完工3条。 </w:t>
      </w:r>
    </w:p>
    <w:p>
      <w:pPr>
        <w:spacing w:line="560" w:lineRule="exact"/>
        <w:ind w:firstLine="643" w:firstLineChars="200"/>
        <w:rPr>
          <w:rFonts w:ascii="仿宋_GB2312" w:eastAsia="仿宋_GB2312"/>
          <w:sz w:val="32"/>
          <w:szCs w:val="32"/>
        </w:rPr>
      </w:pPr>
      <w:r>
        <w:rPr>
          <w:rFonts w:ascii="仿宋_GB2312" w:eastAsia="仿宋_GB2312"/>
          <w:b/>
          <w:bCs/>
          <w:sz w:val="32"/>
          <w:szCs w:val="32"/>
        </w:rPr>
        <w:t>10.城市更新项目。</w:t>
      </w:r>
      <w:r>
        <w:rPr>
          <w:rFonts w:hint="eastAsia" w:ascii="仿宋_GB2312" w:eastAsia="仿宋_GB2312"/>
          <w:sz w:val="32"/>
          <w:szCs w:val="32"/>
        </w:rPr>
        <w:t>完成道路暗区增亮</w:t>
      </w:r>
      <w:r>
        <w:rPr>
          <w:rFonts w:ascii="仿宋_GB2312" w:eastAsia="仿宋_GB2312"/>
          <w:sz w:val="32"/>
          <w:szCs w:val="32"/>
        </w:rPr>
        <w:t>7条,公厕改造4座,全域垃圾</w:t>
      </w:r>
      <w:r>
        <w:rPr>
          <w:rFonts w:hint="eastAsia" w:ascii="仿宋_GB2312" w:eastAsia="仿宋_GB2312"/>
          <w:sz w:val="32"/>
          <w:szCs w:val="32"/>
        </w:rPr>
        <w:t>房美丽攻坚</w:t>
      </w:r>
      <w:r>
        <w:rPr>
          <w:rFonts w:ascii="仿宋_GB2312" w:eastAsia="仿宋_GB2312"/>
          <w:sz w:val="32"/>
          <w:szCs w:val="32"/>
        </w:rPr>
        <w:t xml:space="preserve">,全面排查城市排水系统管网,清疏1500公里。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对区人大代表票选确定的上述民生实事项目，区政府将建立完善机制，高效组织实施，确保实事办好、好事办实。</w:t>
      </w:r>
    </w:p>
    <w:p>
      <w:pPr>
        <w:spacing w:line="560" w:lineRule="exact"/>
        <w:ind w:firstLine="640" w:firstLineChars="200"/>
        <w:outlineLvl w:val="9"/>
        <w:rPr>
          <w:rFonts w:ascii="黑体" w:hAnsi="黑体" w:eastAsia="黑体"/>
          <w:sz w:val="32"/>
          <w:szCs w:val="32"/>
        </w:rPr>
      </w:pPr>
      <w:r>
        <w:rPr>
          <w:rFonts w:hint="eastAsia" w:ascii="黑体" w:hAnsi="黑体" w:eastAsia="黑体"/>
          <w:sz w:val="32"/>
          <w:szCs w:val="32"/>
        </w:rPr>
        <w:t>三、全面提升政府治理现代化水平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新使命呼唤新担当，新征程呼唤新作为。新的一年，我们将坚决扛起全面从严治党主体责任，把党的全面领导贯穿政府工作全局，履职尽责、担当作为，着力打造唯实惟先的现代政府。</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坚决筑牢忠诚本色。</w:t>
      </w:r>
      <w:r>
        <w:rPr>
          <w:rFonts w:hint="eastAsia" w:ascii="仿宋_GB2312" w:eastAsia="仿宋_GB2312"/>
          <w:sz w:val="32"/>
          <w:szCs w:val="32"/>
        </w:rPr>
        <w:t>深入学习贯彻党的二十大精神，牢记“三个务必”，坚定捍卫“两个确立”，坚决做到“两个维护”，不断提高政治判断力、政治领悟力、政治执行力，坚定不移在思想上政治上行动上同以习近平同志为核心的党中央保持高度一致，以更大格局、更高境界、更宽视野，创造性地落实上级决策部署，扎实推动党的二十大精神在钱塘落地生根、开花结果。</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深入推进依法行政。</w:t>
      </w:r>
      <w:r>
        <w:rPr>
          <w:rFonts w:hint="eastAsia" w:ascii="仿宋_GB2312" w:eastAsia="仿宋_GB2312"/>
          <w:sz w:val="32"/>
          <w:szCs w:val="32"/>
        </w:rPr>
        <w:t>更好发挥法治固根本、稳预期、利长远的保障作用，把政府工作全面纳入法治轨道。持续完善科学决策机制，健全吸纳民意、汇集民智工作体系，推进新时代政务公开，依法、自觉、主动接受各方面监督。深化“大综合一体化”行政执法改革。做强企业、高校普法联盟，深入推进法治街道规范化建设。完成第五次全国经济普查，更好摸清发展家底。</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切实增强作风能力。</w:t>
      </w:r>
      <w:r>
        <w:rPr>
          <w:rFonts w:hint="eastAsia" w:ascii="仿宋_GB2312" w:eastAsia="仿宋_GB2312"/>
          <w:sz w:val="32"/>
          <w:szCs w:val="32"/>
        </w:rPr>
        <w:t>深化数字政府建设，进一步提升履职效率和数字化服务水平。推进作风能力建设常态化、长效化，促进干部队伍更专业、更专注。实行长期抓规划、中期抓计划、短期抓项目，督查问效、赛马晾晒，严肃查纠“三不”问题。深入基层、联系群众，在解决复杂问题上动真碰硬，确保见人、见事、见成效。坚持守正创新，在更多领域探新路、出亮点、创一流。落实精文减会、提能增效，以“立说立行、马上就办”的作风效能，确保责任落实、工作落细、结果落地，提升政府工作执行力。</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从严守住廉洁底线。</w:t>
      </w:r>
      <w:r>
        <w:rPr>
          <w:rFonts w:hint="eastAsia" w:ascii="仿宋_GB2312" w:eastAsia="仿宋_GB2312"/>
          <w:sz w:val="32"/>
          <w:szCs w:val="32"/>
        </w:rPr>
        <w:t>落实党风廉政建设主体责任，全面贯彻中央八项规定精神及其实施细则，持续深化纠治“四风”。坚持集中财力办大事，压减非紧急、非必要支出，将更多资金用于保就业、保民生、保市场主体。完善全方位、全过程、全覆盖绩效管理体系，做到花钱必问效、无效即追责。加强重点领域和关键环节廉政风险防控，推进审计、统计监督全覆盖，让清正廉洁成为干部的思想自觉，让干净干事在政府系统蔚然成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位代表，奋斗新时代，实干新征程。让我们更加紧密地团结在以习近平同志为核心的党中央周围，以党的二十大精神为指引，在市委市政府和区委的坚强领导下，接续发扬勇立潮头、奔竞不息的潮涌精神，艰苦奋斗、开拓进取的围垦精神，和而不同、大气包容的移民精神，百折不挠、敢为人先的创业精神，蹲厉奋发、勇毅前行，加快打造现代化国际化一流新区，奋力书写中国式现代化的钱塘答卷！</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rPr>
          <w:rFonts w:hint="eastAsia" w:ascii="方正小标宋简体" w:eastAsia="方正小标宋简体"/>
          <w:spacing w:val="-16"/>
          <w:sz w:val="44"/>
          <w:szCs w:val="32"/>
          <w:lang w:val="en-US" w:eastAsia="zh-CN"/>
        </w:rPr>
      </w:pPr>
      <w:r>
        <w:rPr>
          <w:rFonts w:hint="eastAsia" w:ascii="方正小标宋简体" w:eastAsia="方正小标宋简体"/>
          <w:spacing w:val="-16"/>
          <w:sz w:val="44"/>
          <w:szCs w:val="32"/>
          <w:lang w:val="en-US" w:eastAsia="zh-CN"/>
        </w:rPr>
        <w:br w:type="page"/>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val="en-US" w:eastAsia="zh-CN"/>
        </w:rPr>
      </w:pPr>
      <w:r>
        <w:rPr>
          <w:rFonts w:hint="eastAsia" w:ascii="方正小标宋简体" w:hAnsi="方正小标宋简体" w:eastAsia="方正小标宋简体" w:cs="方正小标宋简体"/>
          <w:b w:val="0"/>
          <w:bCs w:val="0"/>
          <w:spacing w:val="6"/>
          <w:w w:val="95"/>
          <w:sz w:val="44"/>
          <w:szCs w:val="44"/>
          <w:lang w:val="en-US" w:eastAsia="zh-CN"/>
        </w:rPr>
        <w:t>“潮起钱塘·青春智‘荟’”</w:t>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val="en-US" w:eastAsia="zh-CN"/>
        </w:rPr>
      </w:pPr>
      <w:bookmarkStart w:id="2" w:name="_Toc30411"/>
      <w:r>
        <w:rPr>
          <w:rFonts w:hint="eastAsia" w:ascii="方正小标宋简体" w:hAnsi="方正小标宋简体" w:eastAsia="方正小标宋简体" w:cs="方正小标宋简体"/>
          <w:b w:val="0"/>
          <w:bCs w:val="0"/>
          <w:spacing w:val="6"/>
          <w:w w:val="95"/>
          <w:sz w:val="44"/>
          <w:szCs w:val="44"/>
          <w:lang w:val="en-US" w:eastAsia="zh-CN"/>
        </w:rPr>
        <w:t>高校学生模拟政协提案大赛选题参考方向</w:t>
      </w:r>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16"/>
          <w:sz w:val="28"/>
          <w:szCs w:val="21"/>
          <w:lang w:val="en-US" w:eastAsia="zh-CN"/>
        </w:rPr>
      </w:pPr>
      <w:r>
        <w:rPr>
          <w:rFonts w:hint="eastAsia" w:ascii="楷体_GB2312" w:hAnsi="楷体_GB2312" w:eastAsia="楷体_GB2312" w:cs="楷体_GB2312"/>
          <w:spacing w:val="-16"/>
          <w:sz w:val="28"/>
          <w:szCs w:val="21"/>
          <w:lang w:val="en-US" w:eastAsia="zh-CN"/>
        </w:rPr>
        <w:t>(选题仅供参考,提案不限此范围)</w:t>
      </w:r>
    </w:p>
    <w:tbl>
      <w:tblPr>
        <w:tblStyle w:val="15"/>
        <w:tblpPr w:leftFromText="180" w:rightFromText="180" w:vertAnchor="text" w:horzAnchor="page" w:tblpXSpec="center" w:tblpY="539"/>
        <w:tblOverlap w:val="never"/>
        <w:tblW w:w="9052" w:type="dxa"/>
        <w:jc w:val="center"/>
        <w:shd w:val="clear" w:color="auto" w:fill="auto"/>
        <w:tblLayout w:type="fixed"/>
        <w:tblCellMar>
          <w:top w:w="0" w:type="dxa"/>
          <w:left w:w="108" w:type="dxa"/>
          <w:bottom w:w="0" w:type="dxa"/>
          <w:right w:w="108" w:type="dxa"/>
        </w:tblCellMar>
      </w:tblPr>
      <w:tblGrid>
        <w:gridCol w:w="839"/>
        <w:gridCol w:w="8213"/>
      </w:tblGrid>
      <w:tr>
        <w:tblPrEx>
          <w:shd w:val="clear" w:color="auto" w:fill="auto"/>
          <w:tblCellMar>
            <w:top w:w="0" w:type="dxa"/>
            <w:left w:w="108" w:type="dxa"/>
            <w:bottom w:w="0" w:type="dxa"/>
            <w:right w:w="108" w:type="dxa"/>
          </w:tblCellMar>
        </w:tblPrEx>
        <w:trPr>
          <w:trHeight w:val="500" w:hRule="atLeast"/>
          <w:jc w:val="center"/>
        </w:trPr>
        <w:tc>
          <w:tcPr>
            <w:tcW w:w="9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一、经济科学技术方面</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关于大力发展“地瓜经济”的建议。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关于进一步做大做强产业发展平台的建议。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关于完善高新技术产业孵化培育机制，大力发展新兴产业的建议。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关于加快发展“515”产业体系的建议。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关于推进产业智慧化、智慧产业化的建议。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关于提升我区产业发展的空间布局及各区块重点产业发展的建议。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关于积极推进工业存量盘活与产能空间释放的建议。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关于盘活低效用地，推进城市有机更新的建议。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关于积极推进杭州钱塘科学城建设的建议。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关于进一步提升创投基金专业化管理水平的建议。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关于促进我区现代服务业发展的建议。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关于稳经济方面的建议。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关于推进我区“美丽经济”发展，打造美丽产业集群的建议。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关于促进我区投资增长、优化投资结构的建议。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关于破解我区中小科技型企业融资难问题的建议。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关于加强我区优势产业集群研究，积极扶持优势产业集群发展的建议。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关于推进“走出去”战略，加强我区与国内重要经济平台对接合作的建议。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关于加快形成区域创新体系、促进科研成果转化的建议。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关于完善知识产权保护服务体系和促进科技成果转化的体制机制等方面的建议。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关于培育重点税源企业的建议。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关于着力推进重大项目建设，努力扩大有效投资的建议。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关于做长做深集成电路、生物医药、汽车制造、航空航天等产业链的建议。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关于进一步促进区校合作，发挥高校资源优势的建议。</w:t>
            </w:r>
          </w:p>
        </w:tc>
      </w:tr>
      <w:tr>
        <w:tblPrEx>
          <w:shd w:val="clear" w:color="auto" w:fill="auto"/>
          <w:tblCellMar>
            <w:top w:w="0" w:type="dxa"/>
            <w:left w:w="108" w:type="dxa"/>
            <w:bottom w:w="0" w:type="dxa"/>
            <w:right w:w="108" w:type="dxa"/>
          </w:tblCellMar>
        </w:tblPrEx>
        <w:trPr>
          <w:trHeight w:val="500" w:hRule="atLeast"/>
          <w:jc w:val="center"/>
        </w:trPr>
        <w:tc>
          <w:tcPr>
            <w:tcW w:w="9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二、城市建设和管理方面</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关于进一步深化产城融合发展，建设宜居宜业新城的建议。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关于加快推进城市核心区建设的建议。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关于优化区域功能布局，完善区域协调发展的建议。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关于加快都市型城区和田园型城区建设的建议。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关于大力推进钱塘区公园绿地建设改善人居环境的建议。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关于进一步加强我区“沿江城市景观带”休闲氛围培育的建议。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关于加快高铁新湾站及周边配套设施建设的建议。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关于加快城市综合体引进和规划建设的建议。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关于加快“智慧城市”建设，推进智慧应用的建议。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关于加速钱塘区城市智慧交通管理系统开发与建设的建议。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关于加快打通“断头路”，进一步推动交通“微循环”建设的建议。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关于改善交通管理，缓解道路拥堵的建议。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关于进一步推进两岸融合，加大过江交通承载力的建议。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关于解决地铁出行“最后一公里”问题的建议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关于加快推进全区快速路网建设的建议。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关于招引大型游乐场，形成钱塘品牌的建议。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关于加快公租房、人才租赁房、蓝领公寓等保障住房项目建设的建议。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关于进一步加强社区管理，提升“城中村”与农转居小区环境的建议。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关于进一步加强全区出租房屋安全管理工作的建议。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关于加强全区消防安全宣传，增强全民消防意识的建议。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关于大力开发和利用城市地下空间的建议。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关于推进“三改一拆”，健全违章建设治理长效机制的建议。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关于严肃规划审批、加大拆违控违工作力度的建议。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关于加强我区工程勘察管理，确保工程建设质量的建议。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关于加强环境监管，加大执法力度，推进生态文明建设的建议。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关于进一步做好河道综保工作的建议。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关于加强钱塘区环境综合整治、“美丽钱塘”建设的建议。</w:t>
            </w:r>
          </w:p>
        </w:tc>
      </w:tr>
      <w:tr>
        <w:tblPrEx>
          <w:shd w:val="clear" w:color="auto" w:fill="auto"/>
          <w:tblCellMar>
            <w:top w:w="0" w:type="dxa"/>
            <w:left w:w="108" w:type="dxa"/>
            <w:bottom w:w="0" w:type="dxa"/>
            <w:right w:w="108" w:type="dxa"/>
          </w:tblCellMar>
        </w:tblPrEx>
        <w:trPr>
          <w:trHeight w:val="500" w:hRule="atLeast"/>
          <w:jc w:val="center"/>
        </w:trPr>
        <w:tc>
          <w:tcPr>
            <w:tcW w:w="9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三、公共社会事业方面</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关于优化财政支出结构，加大基本公共服务建设投入，促进民生事业发展的建议。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关于着力提升基层医疗机构公共卫生服务能力的建议。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关于进一步深化智慧医疗的研究和运用，完善我区公共卫生医疗体系的建议。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关于创新医卫应急体系，提升疫情防控应对能力的建议。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关于进一步深化教育改革、优化教师资源，促进我区教育事业健康发展的建议。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关于积极发展我区体育事业的建议。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关于重视和加强公共体育设施规划建设的建议。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关于加快就业和社会保障体系建设的建议。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关于进一步加强食品安全市场监管工作的建议。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关于推进智慧养老建设，提升公共养老服务能力的建议。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关于进一步重视和关心老龄工作的建议。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关于创新社区工作机制，提升社区公共服务能力的建议。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关于规范家政服务行业的建议。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关于加快我区公共文化服务体系建设，提升文化惠民水平的建议。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关于加快发展文创产业，推动文化与旅游融合互进的建议。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关于挖掘围垦文化，弘扬新时代围垦精神的建议。</w:t>
            </w:r>
          </w:p>
        </w:tc>
      </w:tr>
      <w:tr>
        <w:tblPrEx>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关于深挖本区历史文化，打造“小而美”的历史景点的建议。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关于完善培养和引进优秀文化人才的建议。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关于切实做好历史文化的保护和传承工作的建议。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关于推进我区义务教育优质化、均衡化发展的建议。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关于提升职业教育水平，加快职业技术人才培养的建议。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关于深入开展名校长、名教师培养工程的建议。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关于创新教育工作机制，着力提升学校教学教研水平的建议。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关于加强对困难群体救助和帮扶的建议。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关于加强中小学中华传统文化教育的建议。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关于进一步加强我区中小学法治教育的建议。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关于加强对未成年人安全意识教育和自救能力培养的建议。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关于健全校园安全管控机制的建议。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关于进一步创新群众文化生活的建议。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关于加大各类紧缺型人才引进和培育力度的建议。</w:t>
            </w:r>
          </w:p>
        </w:tc>
      </w:tr>
      <w:tr>
        <w:tblPrEx>
          <w:shd w:val="clear" w:color="auto" w:fill="auto"/>
          <w:tblCellMar>
            <w:top w:w="0" w:type="dxa"/>
            <w:left w:w="108" w:type="dxa"/>
            <w:bottom w:w="0" w:type="dxa"/>
            <w:right w:w="108" w:type="dxa"/>
          </w:tblCellMar>
        </w:tblPrEx>
        <w:trPr>
          <w:trHeight w:val="500" w:hRule="atLeast"/>
          <w:jc w:val="center"/>
        </w:trPr>
        <w:tc>
          <w:tcPr>
            <w:tcW w:w="9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四、民主法治建设方面</w:t>
            </w:r>
          </w:p>
        </w:tc>
      </w:tr>
      <w:tr>
        <w:tblPrEx>
          <w:shd w:val="clear" w:color="auto" w:fill="auto"/>
          <w:tblCellMar>
            <w:top w:w="0" w:type="dxa"/>
            <w:left w:w="108" w:type="dxa"/>
            <w:bottom w:w="0" w:type="dxa"/>
            <w:right w:w="108" w:type="dxa"/>
          </w:tblCellMar>
        </w:tblPrEx>
        <w:trPr>
          <w:trHeight w:val="66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关于贯彻落实党的二十大精神，加强依法治国的建议。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关于推进政府职能转变和机构改革，建设廉洁高效的服务型政府的建议。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关于深化“最多跑一次”改革，营造一流营商环境的建议。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关于进一步提升政府重大决策科学化、民主化水平的建议。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关于完善社会矛盾纠纷易发多发领域预警和应急处置的建议。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关于关注群众心理健康，促进社会和谐安定的建议。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关于加强普法宣传和教育，增强公民法律意识，推进依法行政的建议。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关于健全完善各级调解组织，提高矛盾纠纷化解能力的建议。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关于进一步整合司法、综治、法律援助等各方力量为社会管理创新提供保障的建议。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关于贯彻党的宗教政策，规范合法宗教活动的建议。</w:t>
            </w:r>
          </w:p>
        </w:tc>
      </w:tr>
      <w:tr>
        <w:tblPrEx>
          <w:shd w:val="clear" w:color="auto" w:fill="auto"/>
          <w:tblCellMar>
            <w:top w:w="0" w:type="dxa"/>
            <w:left w:w="108" w:type="dxa"/>
            <w:bottom w:w="0" w:type="dxa"/>
            <w:right w:w="108" w:type="dxa"/>
          </w:tblCellMar>
        </w:tblPrEx>
        <w:trPr>
          <w:trHeight w:val="500" w:hRule="atLeast"/>
          <w:jc w:val="center"/>
        </w:trPr>
        <w:tc>
          <w:tcPr>
            <w:tcW w:w="9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五、农村农业农民方面</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关于深化美丽城镇、美丽乡村建设的建议。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关于大力发展创意农业的建议。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关于以高产、优质农产品生产供给为重点，加强农产品安全保障的建议。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关于布局现代农业产业、农业数字经济等园区的建议。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关于继续完善村级留用地开发体制机制的建议。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关于推进我区村级集体经济高质量发展的建议。</w:t>
            </w:r>
          </w:p>
        </w:tc>
      </w:tr>
      <w:tr>
        <w:tblPrEx>
          <w:shd w:val="clear" w:color="auto" w:fill="auto"/>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关于深化农村集体资产管理制度改革的建议。</w:t>
            </w:r>
          </w:p>
        </w:tc>
      </w:tr>
      <w:tr>
        <w:tblPrEx>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关于加强“三农”工作队伍建设的建议。</w:t>
            </w:r>
          </w:p>
        </w:tc>
      </w:tr>
      <w:tr>
        <w:tblPrEx>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关于加快构建新型农业经营体系，推动农业现代发展的建议。</w:t>
            </w:r>
          </w:p>
        </w:tc>
      </w:tr>
      <w:tr>
        <w:tblPrEx>
          <w:tblCellMar>
            <w:top w:w="0" w:type="dxa"/>
            <w:left w:w="108" w:type="dxa"/>
            <w:bottom w:w="0" w:type="dxa"/>
            <w:right w:w="108" w:type="dxa"/>
          </w:tblCellMar>
        </w:tblPrEx>
        <w:trPr>
          <w:trHeight w:val="50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关于促进生态农业规模化、产业化、品牌化发展的建议。</w:t>
            </w:r>
          </w:p>
        </w:tc>
      </w:tr>
    </w:tbl>
    <w:p>
      <w:pPr>
        <w:jc w:val="center"/>
        <w:rPr>
          <w:rFonts w:hint="eastAsia" w:ascii="楷体_GB2312" w:hAnsi="楷体_GB2312" w:eastAsia="楷体_GB2312" w:cs="楷体_GB2312"/>
          <w:spacing w:val="-16"/>
          <w:sz w:val="32"/>
          <w:szCs w:val="22"/>
          <w:lang w:val="en-US" w:eastAsia="zh-CN"/>
        </w:rPr>
      </w:pPr>
    </w:p>
    <w:p/>
    <w:p>
      <w:r>
        <w:br w:type="page"/>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eastAsia="zh-CN"/>
        </w:rPr>
      </w:pPr>
      <w:bookmarkStart w:id="3" w:name="_Toc7208"/>
      <w:r>
        <w:rPr>
          <w:rFonts w:hint="eastAsia" w:ascii="方正小标宋简体" w:hAnsi="方正小标宋简体" w:eastAsia="方正小标宋简体" w:cs="方正小标宋简体"/>
          <w:b w:val="0"/>
          <w:bCs w:val="0"/>
          <w:spacing w:val="6"/>
          <w:w w:val="95"/>
          <w:sz w:val="44"/>
          <w:szCs w:val="44"/>
          <w:lang w:eastAsia="zh-CN"/>
        </w:rPr>
        <w:t>政协与提案常识</w:t>
      </w:r>
      <w:bookmarkEnd w:id="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outlineLvl w:val="9"/>
        <w:rPr>
          <w:rFonts w:hint="eastAsia" w:ascii="黑体" w:hAnsi="黑体" w:eastAsia="黑体" w:cs="黑体"/>
          <w:i w:val="0"/>
          <w:iCs w:val="0"/>
          <w:caps w:val="0"/>
          <w:color w:val="121212"/>
          <w:spacing w:val="0"/>
          <w:sz w:val="32"/>
          <w:szCs w:val="32"/>
          <w:shd w:val="clear" w:fill="FFFFFF"/>
        </w:rPr>
      </w:pPr>
      <w:r>
        <w:rPr>
          <w:rFonts w:hint="eastAsia" w:ascii="黑体" w:hAnsi="黑体" w:eastAsia="黑体" w:cs="黑体"/>
          <w:i w:val="0"/>
          <w:iCs w:val="0"/>
          <w:caps w:val="0"/>
          <w:color w:val="121212"/>
          <w:spacing w:val="0"/>
          <w:sz w:val="32"/>
          <w:szCs w:val="32"/>
          <w:shd w:val="clear" w:fill="FFFFFF"/>
          <w:lang w:eastAsia="zh-CN"/>
        </w:rPr>
        <w:t>一、</w:t>
      </w:r>
      <w:r>
        <w:rPr>
          <w:rFonts w:hint="eastAsia" w:ascii="黑体" w:hAnsi="黑体" w:eastAsia="黑体" w:cs="黑体"/>
          <w:i w:val="0"/>
          <w:iCs w:val="0"/>
          <w:caps w:val="0"/>
          <w:color w:val="121212"/>
          <w:spacing w:val="0"/>
          <w:sz w:val="32"/>
          <w:szCs w:val="32"/>
          <w:shd w:val="clear" w:fill="FFFFFF"/>
        </w:rPr>
        <w:t>中国政协的性质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中国人民政治协商会议是中国人民爱国统一战线的组织，是中国共产党领导的多党合作和政治协商的重要机构，是中国政治生活中发扬社会主义民主的重要形式。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中国政协作为中国最广泛的爱国统一战线组织，实行“大团结、大统一、囊括一切代表人物”的方针。其参加单位中包括中国共产党、8个民主党派和无党派人士，共青团、工会、妇联、青联、工商联、科协、台联、侨联等8个主要人民团体，中国56个民族和五大宗教团体的代表人物，香港特别行政区同胞、澳门特别行政区同胞、台湾同胞和归国侨胞的代表，以及其他各个界别的代表人士，具有组织上的广泛代表性和政治上的巨大包容性，真正体现了整个中华民族的大团结、大联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中国政协作为中国共产党领导的多党合作和政治协商的重要机构，在发展中国社会主义多党合作事业中具有重要的作用。在中国政协中，各民主党派可以就国家和地方大事和多党合作中的重大问题，以本党派名义通过多种形式发表意见，开展政治协商，同共产党实行互相监督，促进共产党执政能力的提高和民主党派自身建设的加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中国政协是中国政治生活中发扬社会主义民主的重要形式。人民通过选举、投票行使权利和人民内部各方面在重大决策之前进行充分协商，尽可能就共同性问题取得一致意见，是中国社会主义民主的两种重要形式。中国政协作为实行协商民主的重要渠道和载体，各党派团体、各族各界人士通过政协组织的会议和活动协商议政，是扩大人民民主、实现人民当家作主的生动体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outlineLvl w:val="9"/>
        <w:rPr>
          <w:rFonts w:hint="eastAsia" w:ascii="黑体" w:hAnsi="黑体" w:eastAsia="黑体" w:cs="黑体"/>
          <w:i w:val="0"/>
          <w:iCs w:val="0"/>
          <w:caps w:val="0"/>
          <w:color w:val="121212"/>
          <w:spacing w:val="0"/>
          <w:sz w:val="32"/>
          <w:szCs w:val="32"/>
          <w:shd w:val="clear" w:fill="FFFFFF"/>
          <w:lang w:eastAsia="zh-CN"/>
        </w:rPr>
      </w:pPr>
      <w:r>
        <w:rPr>
          <w:rFonts w:hint="eastAsia" w:ascii="黑体" w:hAnsi="黑体" w:eastAsia="黑体" w:cs="黑体"/>
          <w:i w:val="0"/>
          <w:iCs w:val="0"/>
          <w:caps w:val="0"/>
          <w:color w:val="121212"/>
          <w:spacing w:val="0"/>
          <w:sz w:val="32"/>
          <w:szCs w:val="32"/>
          <w:shd w:val="clear" w:fill="FFFFFF"/>
          <w:lang w:eastAsia="zh-CN"/>
        </w:rPr>
        <w:t>二、中国政协的地位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中国共产党在领导人民探索中国特色社会主义的伟大实践中，创立了与国情和国体相适应的人民代表大会制度、共产党领导的多党合作和政治协商制度、民族区域自治制度以及基层群众自治制度，形成了中国政治制度的基本框架。中国政协是实行中国共产党领导的多党合作和政治协商这一基本政治制度的重要政治形式和组织形式，是中国政治体制的重要组成部分，在国家政治生活中具有不可替代的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在中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outlineLvl w:val="9"/>
        <w:rPr>
          <w:rFonts w:hint="eastAsia" w:ascii="黑体" w:hAnsi="黑体" w:eastAsia="黑体" w:cs="黑体"/>
          <w:i w:val="0"/>
          <w:iCs w:val="0"/>
          <w:caps w:val="0"/>
          <w:color w:val="121212"/>
          <w:spacing w:val="0"/>
          <w:sz w:val="32"/>
          <w:szCs w:val="32"/>
          <w:shd w:val="clear" w:fill="FFFFFF"/>
          <w:lang w:eastAsia="zh-CN"/>
        </w:rPr>
      </w:pPr>
      <w:r>
        <w:rPr>
          <w:rFonts w:hint="eastAsia" w:ascii="黑体" w:hAnsi="黑体" w:eastAsia="黑体" w:cs="黑体"/>
          <w:i w:val="0"/>
          <w:iCs w:val="0"/>
          <w:caps w:val="0"/>
          <w:color w:val="121212"/>
          <w:spacing w:val="0"/>
          <w:sz w:val="32"/>
          <w:szCs w:val="32"/>
          <w:shd w:val="clear" w:fill="FFFFFF"/>
          <w:lang w:eastAsia="zh-CN"/>
        </w:rPr>
        <w:t>三、政协提案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提案是政协委员和参加政协的各党派、各人民团体以及政协各专门委员会，向政协全体会议或者常务委员会提出的、经提案审查委员会或提案委员会审查立案后，交承办单位办理的书面意见和建议。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提案的提出一般有四种形式：一是政协委员可以个人名义或者联名方式提出提案；二是政协全体会议期间，可以界别、小组或者联组名义提出提案；三是参加政协的各党派、人民团体可以本党派、团体名义提出提案；四是政协各专门委员会可以本专门委员会名义提出提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提案工作的基本程序为：提出—交办—承办—答复。提案提出后，提案审查委员会、提案委员会本着尊重和维护提案者的民主权利、保证提案质量的原则，对收到的提案进行审查，审查通过的予以立案。经过审查立案的提案，根据提案的内容和有关单位的职责分工确定承办单位。承办提案的中国共产党有关部门、国家机关有关部门、军队有关部门、有关人民团体等单位根据国家法律、法规、政策和有关规定办理提案。承办单位办理提案后，在规定的时间内答复，并将办理复文直接寄交第一提案人，同时抄送提案委员会办公室。如提案者在规定时间内未收到复文，可向提案委员会办公室查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outlineLvl w:val="9"/>
        <w:rPr>
          <w:rFonts w:hint="eastAsia" w:ascii="黑体" w:hAnsi="黑体" w:eastAsia="黑体" w:cs="黑体"/>
          <w:i w:val="0"/>
          <w:iCs w:val="0"/>
          <w:caps w:val="0"/>
          <w:color w:val="121212"/>
          <w:spacing w:val="0"/>
          <w:sz w:val="32"/>
          <w:szCs w:val="32"/>
          <w:shd w:val="clear" w:fill="FFFFFF"/>
          <w:lang w:eastAsia="zh-CN"/>
        </w:rPr>
      </w:pPr>
      <w:r>
        <w:rPr>
          <w:rFonts w:hint="eastAsia" w:ascii="黑体" w:hAnsi="黑体" w:eastAsia="黑体" w:cs="黑体"/>
          <w:i w:val="0"/>
          <w:iCs w:val="0"/>
          <w:caps w:val="0"/>
          <w:color w:val="121212"/>
          <w:spacing w:val="0"/>
          <w:sz w:val="32"/>
          <w:szCs w:val="32"/>
          <w:shd w:val="clear" w:fill="FFFFFF"/>
          <w:lang w:eastAsia="zh-CN"/>
        </w:rPr>
        <w:t>四、提案的性质、地位、作用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中国人民政治协商会议全国委员会提案工作条例》指出，提案“是履行人民政协职能的一个重要方式，是坚持和完善中国共产党领导的多党合作和政治协商制度的一种重要载体，是协助中国共产党和国家机关实现决策民主化、科学化的一条重要渠道”，这是对提案性质和地位完整的简明阐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人民政协的工作方式很多，有会议、委员视察、专委会的专题调查研究等等。但提案有其广泛性、经常性和规范性的优势，发挥出独特的作用。从过去长期实践情况看，提案工作的作用大体可以归纳为：对党政领导部门重要决策，可以起参谋咨询作用；对三个文明建设，可以起到推进补充完善作用；对重要方针政策的贯彻执行，可以起到促进和信息反馈作用；对反腐倡廉，可以起到民主监督作用；对某些人民内部问题，可以起到缓解矛盾、增进团结和保持稳定作用；对发展和完善中国共产党领导的多党合作，可起到促进作用。正因为如此，提案才成为政治协商、民主监督的好形式，参政议政的好渠道，为政协委员贡献才智、发挥专长提供了好舞台。提案工作做得如何，已成为检验政协工作的一个重要标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21212"/>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pPr>
    </w:p>
    <w:p>
      <w:r>
        <w:br w:type="page"/>
      </w: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hint="eastAsia" w:ascii="黑体" w:hAnsi="黑体" w:eastAsia="黑体" w:cs="黑体"/>
          <w:spacing w:val="-16"/>
          <w:sz w:val="32"/>
          <w:szCs w:val="32"/>
          <w:vertAlign w:val="baseline"/>
          <w:lang w:val="en-US" w:eastAsia="zh-CN"/>
        </w:rPr>
      </w:pPr>
      <w:r>
        <w:rPr>
          <w:rFonts w:hint="eastAsia" w:ascii="黑体" w:hAnsi="黑体" w:eastAsia="黑体" w:cs="黑体"/>
          <w:spacing w:val="-16"/>
          <w:sz w:val="32"/>
          <w:szCs w:val="32"/>
          <w:vertAlign w:val="baseline"/>
          <w:lang w:val="en-US" w:eastAsia="zh-CN"/>
        </w:rPr>
        <w:t>提案参考一：</w:t>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val="en-US" w:eastAsia="zh-CN"/>
        </w:rPr>
      </w:pPr>
      <w:bookmarkStart w:id="4" w:name="_Toc28817"/>
      <w:r>
        <w:rPr>
          <w:rFonts w:hint="eastAsia" w:ascii="方正小标宋简体" w:hAnsi="方正小标宋简体" w:eastAsia="方正小标宋简体" w:cs="方正小标宋简体"/>
          <w:b w:val="0"/>
          <w:bCs w:val="0"/>
          <w:spacing w:val="6"/>
          <w:w w:val="95"/>
          <w:sz w:val="44"/>
          <w:szCs w:val="44"/>
          <w:lang w:val="en-US" w:eastAsia="zh-CN"/>
        </w:rPr>
        <w:t>关于加快推进钱塘区公园绿地建设</w:t>
      </w:r>
      <w:bookmarkEnd w:id="4"/>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val="en-US" w:eastAsia="zh-CN"/>
        </w:rPr>
      </w:pPr>
      <w:bookmarkStart w:id="5" w:name="_Toc29065"/>
      <w:r>
        <w:rPr>
          <w:rFonts w:hint="eastAsia" w:ascii="方正小标宋简体" w:hAnsi="方正小标宋简体" w:eastAsia="方正小标宋简体" w:cs="方正小标宋简体"/>
          <w:b w:val="0"/>
          <w:bCs w:val="0"/>
          <w:spacing w:val="6"/>
          <w:w w:val="95"/>
          <w:sz w:val="44"/>
          <w:szCs w:val="44"/>
          <w:lang w:val="en-US" w:eastAsia="zh-CN"/>
        </w:rPr>
        <w:t>迎接亚运会召开的建议</w:t>
      </w:r>
      <w:bookmarkEnd w:id="5"/>
    </w:p>
    <w:p>
      <w:pPr>
        <w:keepNext w:val="0"/>
        <w:keepLines w:val="0"/>
        <w:pageBreakBefore w:val="0"/>
        <w:widowControl w:val="0"/>
        <w:kinsoku/>
        <w:wordWrap/>
        <w:overflowPunct/>
        <w:topLinePunct w:val="0"/>
        <w:autoSpaceDE/>
        <w:autoSpaceDN/>
        <w:bidi w:val="0"/>
        <w:adjustRightInd/>
        <w:snapToGrid/>
        <w:spacing w:afterAutospacing="0" w:line="560" w:lineRule="exact"/>
        <w:ind w:firstLine="576" w:firstLineChars="200"/>
        <w:jc w:val="left"/>
        <w:textAlignment w:val="auto"/>
        <w:rPr>
          <w:rFonts w:hint="eastAsia" w:ascii="仿宋" w:hAnsi="仿宋" w:eastAsia="仿宋" w:cs="仿宋"/>
          <w:spacing w:val="-16"/>
          <w:sz w:val="32"/>
          <w:szCs w:val="32"/>
          <w:vertAlign w:val="baseline"/>
          <w:lang w:val="en-US" w:eastAsia="zh-CN"/>
        </w:rPr>
      </w:pPr>
      <w:r>
        <w:rPr>
          <w:rFonts w:hint="eastAsia" w:ascii="仿宋" w:hAnsi="仿宋" w:eastAsia="仿宋" w:cs="仿宋"/>
          <w:spacing w:val="-16"/>
          <w:sz w:val="32"/>
          <w:szCs w:val="32"/>
          <w:vertAlign w:val="baseline"/>
          <w:lang w:val="en-US" w:eastAsia="zh-CN"/>
        </w:rPr>
        <w:t>在“八八战略”重要指引下，杭州秉承“浙江精神”，勇立潮头，扬帆再起航，提出实施“拥江发展”战略，以境域内235公里钱塘江为主轴，围绕“三江两岸”打造城市带、产业带、交通带、景观带、生态带和文化带，近两年，杭州市政府又提出《钱塘江两岸园林绿化风貌建设导则》和《杭州市“迎亚运”园林绿化行动计划（2020—2022）》等一系列推动城市园林绿化建设的文件，而钱塘区作为杭州市“十四五”规划中“一核九星”的重要一星，刚经历从新区到行政区的跨越式发展，应从如何提升城市品位、提高老百姓生活品质等最直接最现实的利益出发，为此建议政府大力推进钱塘区公园绿地建设，让老百姓有更多的幸福感和获得感。</w:t>
      </w:r>
      <w:r>
        <w:rPr>
          <w:rFonts w:hint="eastAsia" w:ascii="仿宋" w:hAnsi="仿宋" w:eastAsia="仿宋" w:cs="仿宋"/>
          <w:spacing w:val="-16"/>
          <w:sz w:val="32"/>
          <w:szCs w:val="32"/>
          <w:vertAlign w:val="baseline"/>
          <w:lang w:val="en-US" w:eastAsia="zh-CN"/>
        </w:rPr>
        <w:br w:type="textWrapping"/>
      </w:r>
      <w:r>
        <w:rPr>
          <w:rFonts w:hint="eastAsia" w:ascii="黑体" w:hAnsi="黑体" w:eastAsia="黑体" w:cs="黑体"/>
          <w:spacing w:val="-16"/>
          <w:sz w:val="32"/>
          <w:szCs w:val="32"/>
          <w:vertAlign w:val="baseline"/>
          <w:lang w:val="en-US" w:eastAsia="zh-CN"/>
        </w:rPr>
        <w:t xml:space="preserve">     一、基本情况</w:t>
      </w:r>
      <w:r>
        <w:rPr>
          <w:rFonts w:hint="eastAsia" w:ascii="仿宋" w:hAnsi="仿宋" w:eastAsia="仿宋" w:cs="仿宋"/>
          <w:spacing w:val="-16"/>
          <w:sz w:val="32"/>
          <w:szCs w:val="32"/>
          <w:vertAlign w:val="baseline"/>
          <w:lang w:val="en-US" w:eastAsia="zh-CN"/>
        </w:rPr>
        <w:br w:type="textWrapping"/>
      </w:r>
      <w:r>
        <w:rPr>
          <w:rFonts w:hint="eastAsia" w:ascii="仿宋" w:hAnsi="仿宋" w:eastAsia="仿宋" w:cs="仿宋"/>
          <w:spacing w:val="-16"/>
          <w:sz w:val="32"/>
          <w:szCs w:val="32"/>
          <w:vertAlign w:val="baseline"/>
          <w:lang w:val="en-US" w:eastAsia="zh-CN"/>
        </w:rPr>
        <w:t xml:space="preserve">     2021年我区总计新增绿地面积100万㎡，其中新增公园绿地面积90万㎡。截止目前，钱塘区共有8个绿化公园纳入区级管理养护，公园绿地面积131.2812平方米。据统计，我国城市人均公园绿地面积达14.8平方米，而我区目前常住人口为77.3万人，人均公园绿地约1.69平方米左右，仅达到全国人均面积的11.48%。</w:t>
      </w:r>
      <w:r>
        <w:rPr>
          <w:rFonts w:hint="eastAsia" w:ascii="仿宋" w:hAnsi="仿宋" w:eastAsia="仿宋" w:cs="仿宋"/>
          <w:spacing w:val="-16"/>
          <w:sz w:val="32"/>
          <w:szCs w:val="32"/>
          <w:vertAlign w:val="baseline"/>
          <w:lang w:val="en-US" w:eastAsia="zh-CN"/>
        </w:rPr>
        <w:br w:type="textWrapping"/>
      </w:r>
      <w:r>
        <w:rPr>
          <w:rFonts w:hint="eastAsia" w:ascii="黑体" w:hAnsi="黑体" w:eastAsia="黑体" w:cs="黑体"/>
          <w:spacing w:val="-16"/>
          <w:sz w:val="32"/>
          <w:szCs w:val="32"/>
          <w:vertAlign w:val="baseline"/>
          <w:lang w:val="en-US" w:eastAsia="zh-CN"/>
        </w:rPr>
        <w:t xml:space="preserve">     二、存在问题</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（一）公园绿地项目规划有待进一步完善。</w:t>
      </w:r>
      <w:r>
        <w:rPr>
          <w:rFonts w:hint="eastAsia" w:ascii="仿宋" w:hAnsi="仿宋" w:eastAsia="仿宋" w:cs="仿宋"/>
          <w:spacing w:val="-16"/>
          <w:sz w:val="32"/>
          <w:szCs w:val="32"/>
          <w:vertAlign w:val="baseline"/>
          <w:lang w:val="en-US" w:eastAsia="zh-CN"/>
        </w:rPr>
        <w:t>当前，钱塘区核心区建设公园绿地较少，江东区块作为区政府所在的核心区，全省的产业大平台，汽车、集成电路、航空航天、智能装备制造等一大批智慧制造重点产业落户地，城市发展与园林绿化建设不平衡，导致居民及各类人才无休闲娱乐场地，在一定程度上造成高端智慧项目引进难、人才留住难。</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（二）公园绿化项目建设有待进一步梳理。</w:t>
      </w:r>
      <w:r>
        <w:rPr>
          <w:rFonts w:hint="eastAsia" w:ascii="仿宋" w:hAnsi="仿宋" w:eastAsia="仿宋" w:cs="仿宋"/>
          <w:spacing w:val="-16"/>
          <w:sz w:val="32"/>
          <w:szCs w:val="32"/>
          <w:vertAlign w:val="baseline"/>
          <w:lang w:val="en-US" w:eastAsia="zh-CN"/>
        </w:rPr>
        <w:t>钱塘区公园绿地面积总体体量较少，根据“迎亚运”三年行动计划，钱塘区2022年需完成新增绿地面积203万平方米，其中新增公园绿地面积65万平方米。由于2022年杭州将举办亚运会，在一定程度上会对项目建设造成影响。根据前期初步梳理2022年绿化项目，目前仅有新增绿地面积33万平方米。</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（三）现有公园绿地景观有待进一步提升。</w:t>
      </w:r>
      <w:r>
        <w:rPr>
          <w:rFonts w:hint="eastAsia" w:ascii="仿宋" w:hAnsi="仿宋" w:eastAsia="仿宋" w:cs="仿宋"/>
          <w:spacing w:val="-16"/>
          <w:sz w:val="32"/>
          <w:szCs w:val="32"/>
          <w:vertAlign w:val="baseline"/>
          <w:lang w:val="en-US" w:eastAsia="zh-CN"/>
        </w:rPr>
        <w:t>钱塘区现有八个公园，最早建于1996年，存在苗木老化、设施老旧、与周边城市环境不配套及特色景观缺失等问题，与现在钱塘区高速发展的城市面貌不匹配，难以满足公园周边居民生活的需要。</w:t>
      </w:r>
      <w:r>
        <w:rPr>
          <w:rFonts w:hint="eastAsia" w:ascii="仿宋" w:hAnsi="仿宋" w:eastAsia="仿宋" w:cs="仿宋"/>
          <w:spacing w:val="-16"/>
          <w:sz w:val="32"/>
          <w:szCs w:val="32"/>
          <w:vertAlign w:val="baseline"/>
          <w:lang w:val="en-US" w:eastAsia="zh-CN"/>
        </w:rPr>
        <w:br w:type="textWrapping"/>
      </w:r>
      <w:r>
        <w:rPr>
          <w:rFonts w:hint="eastAsia" w:ascii="黑体" w:hAnsi="黑体" w:eastAsia="黑体" w:cs="黑体"/>
          <w:spacing w:val="-16"/>
          <w:sz w:val="32"/>
          <w:szCs w:val="32"/>
          <w:vertAlign w:val="baseline"/>
          <w:lang w:val="en-US" w:eastAsia="zh-CN"/>
        </w:rPr>
        <w:t xml:space="preserve">     三、相关建议</w:t>
      </w:r>
      <w:r>
        <w:rPr>
          <w:rFonts w:hint="eastAsia" w:ascii="仿宋" w:hAnsi="仿宋" w:eastAsia="仿宋" w:cs="仿宋"/>
          <w:spacing w:val="-16"/>
          <w:sz w:val="32"/>
          <w:szCs w:val="32"/>
          <w:vertAlign w:val="baseline"/>
          <w:lang w:val="en-US" w:eastAsia="zh-CN"/>
        </w:rPr>
        <w:br w:type="textWrapping"/>
      </w:r>
      <w:r>
        <w:rPr>
          <w:rFonts w:hint="eastAsia" w:ascii="仿宋" w:hAnsi="仿宋" w:eastAsia="仿宋" w:cs="仿宋"/>
          <w:spacing w:val="-16"/>
          <w:sz w:val="32"/>
          <w:szCs w:val="32"/>
          <w:vertAlign w:val="baseline"/>
          <w:lang w:val="en-US" w:eastAsia="zh-CN"/>
        </w:rPr>
        <w:t xml:space="preserve">     城市公园绿地建设，事关我区居民日常生活所需，推进城市公园建设，能够满足广大群众日常休闲娱乐、健身活动的需求。为此提出以下建议：</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（一）加强部门合作，完善绿地规划。</w:t>
      </w:r>
      <w:r>
        <w:rPr>
          <w:rFonts w:hint="eastAsia" w:ascii="仿宋" w:hAnsi="仿宋" w:eastAsia="仿宋" w:cs="仿宋"/>
          <w:spacing w:val="-16"/>
          <w:sz w:val="32"/>
          <w:szCs w:val="32"/>
          <w:vertAlign w:val="baseline"/>
          <w:lang w:val="en-US" w:eastAsia="zh-CN"/>
        </w:rPr>
        <w:t>由区住建局牵头，会同规划部门、各街道、各建设主体一起进行现状公园绿地建设研究。针对核心区目前公园绿地现状布局，合理制定城市公园绿地建设三年行动计划，实现由点到面、由面成片的公园布局。</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（二）结合亚运行动，打造特色公园。</w:t>
      </w:r>
      <w:r>
        <w:rPr>
          <w:rFonts w:hint="eastAsia" w:ascii="仿宋" w:hAnsi="仿宋" w:eastAsia="仿宋" w:cs="仿宋"/>
          <w:spacing w:val="-16"/>
          <w:sz w:val="32"/>
          <w:szCs w:val="32"/>
          <w:vertAlign w:val="baseline"/>
          <w:lang w:val="en-US" w:eastAsia="zh-CN"/>
        </w:rPr>
        <w:t>在亚运来临之际，通过结合城乡风貌整治、特色街区打造等工作，在建设过程中与亚运元素相结合，打造一批具有亚运特色的城市公园。</w:t>
      </w:r>
      <w:r>
        <w:rPr>
          <w:rFonts w:hint="eastAsia" w:ascii="仿宋" w:hAnsi="仿宋" w:eastAsia="仿宋" w:cs="仿宋"/>
          <w:spacing w:val="-16"/>
          <w:sz w:val="32"/>
          <w:szCs w:val="32"/>
          <w:vertAlign w:val="baseline"/>
          <w:lang w:val="en-US" w:eastAsia="zh-CN"/>
        </w:rPr>
        <w:br w:type="textWrapping"/>
      </w:r>
      <w:r>
        <w:rPr>
          <w:rFonts w:hint="eastAsia" w:ascii="楷体" w:hAnsi="楷体" w:eastAsia="楷体" w:cs="楷体"/>
          <w:spacing w:val="-16"/>
          <w:sz w:val="32"/>
          <w:szCs w:val="32"/>
          <w:vertAlign w:val="baseline"/>
          <w:lang w:val="en-US" w:eastAsia="zh-CN"/>
        </w:rPr>
        <w:t xml:space="preserve">     （三）加强工程监管，提高养护水准。</w:t>
      </w:r>
      <w:r>
        <w:rPr>
          <w:rFonts w:hint="eastAsia" w:ascii="仿宋" w:hAnsi="仿宋" w:eastAsia="仿宋" w:cs="仿宋"/>
          <w:spacing w:val="-16"/>
          <w:sz w:val="32"/>
          <w:szCs w:val="32"/>
          <w:vertAlign w:val="baseline"/>
          <w:lang w:val="en-US" w:eastAsia="zh-CN"/>
        </w:rPr>
        <w:t>在公园建设过程中，加强项目督查，对建设进度慢、项目质量不高的项目进行督查，并按照要求整改，确保项目按时、高效地完成。作为后续环节，综合行政执法局须配备一支专业的养护队伍，科学管理，精心制定养护方案，增强绿化的可持续生长、提高公园的社会效益和生态效益，稳定生态系统，努力为百姓打造宜游、宜赏、宜乐的公园环境。</w:t>
      </w:r>
      <w:r>
        <w:rPr>
          <w:rFonts w:hint="eastAsia" w:ascii="仿宋" w:hAnsi="仿宋" w:eastAsia="仿宋" w:cs="仿宋"/>
          <w:spacing w:val="-16"/>
          <w:sz w:val="32"/>
          <w:szCs w:val="32"/>
          <w:vertAlign w:val="baseline"/>
          <w:lang w:val="en-US" w:eastAsia="zh-CN"/>
        </w:rPr>
        <w:br w:type="textWrapping"/>
      </w:r>
      <w:r>
        <w:rPr>
          <w:rFonts w:hint="eastAsia" w:ascii="仿宋" w:hAnsi="仿宋" w:eastAsia="仿宋" w:cs="仿宋"/>
          <w:spacing w:val="-16"/>
          <w:sz w:val="32"/>
          <w:szCs w:val="32"/>
          <w:vertAlign w:val="baseline"/>
          <w:lang w:val="en-US" w:eastAsia="zh-CN"/>
        </w:rPr>
        <w:t xml:space="preserve"> </w:t>
      </w:r>
      <w:r>
        <w:rPr>
          <w:rFonts w:hint="eastAsia" w:ascii="楷体" w:hAnsi="楷体" w:eastAsia="楷体" w:cs="楷体"/>
          <w:spacing w:val="-16"/>
          <w:sz w:val="32"/>
          <w:szCs w:val="32"/>
          <w:vertAlign w:val="baseline"/>
          <w:lang w:val="en-US" w:eastAsia="zh-CN"/>
        </w:rPr>
        <w:t xml:space="preserve">    （四）逐步改造完善，提升公园景观。</w:t>
      </w:r>
      <w:r>
        <w:rPr>
          <w:rFonts w:hint="eastAsia" w:ascii="仿宋" w:hAnsi="仿宋" w:eastAsia="仿宋" w:cs="仿宋"/>
          <w:spacing w:val="-16"/>
          <w:sz w:val="32"/>
          <w:szCs w:val="32"/>
          <w:vertAlign w:val="baseline"/>
          <w:lang w:val="en-US" w:eastAsia="zh-CN"/>
        </w:rPr>
        <w:t>对一些老旧公园进行改造，可以结合杭州市2022年花事花展活动，举办特色花展，更新部分老化苗木、增加彩化，用增彩的方式实现公园的美丽升级。另外，钱塘区还可以以“书香钱塘”的品牌建设为依托，对高教东公园进行专项提升改造，宣传钱塘区历史文化和建设发展风貌。</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sz w:val="22"/>
          <w:szCs w:val="28"/>
        </w:rPr>
      </w:pPr>
      <w:r>
        <w:rPr>
          <w:rFonts w:hint="eastAsia" w:ascii="仿宋" w:hAnsi="仿宋" w:eastAsia="仿宋" w:cs="仿宋"/>
          <w:sz w:val="22"/>
          <w:szCs w:val="28"/>
        </w:rPr>
        <w:br w:type="page"/>
      </w:r>
    </w:p>
    <w:p>
      <w:pPr>
        <w:keepNext w:val="0"/>
        <w:keepLines w:val="0"/>
        <w:pageBreakBefore w:val="0"/>
        <w:kinsoku/>
        <w:wordWrap/>
        <w:overflowPunct/>
        <w:topLinePunct w:val="0"/>
        <w:autoSpaceDE/>
        <w:autoSpaceDN/>
        <w:bidi w:val="0"/>
        <w:adjustRightInd/>
        <w:snapToGrid/>
        <w:spacing w:afterAutospacing="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提案参考二：</w:t>
      </w:r>
    </w:p>
    <w:p>
      <w:pPr>
        <w:pStyle w:val="3"/>
        <w:spacing w:before="0" w:after="0" w:line="550" w:lineRule="exact"/>
        <w:jc w:val="center"/>
        <w:outlineLvl w:val="0"/>
        <w:rPr>
          <w:rFonts w:hint="eastAsia" w:ascii="方正小标宋简体" w:hAnsi="方正小标宋简体" w:eastAsia="方正小标宋简体" w:cs="方正小标宋简体"/>
          <w:b w:val="0"/>
          <w:bCs w:val="0"/>
          <w:spacing w:val="6"/>
          <w:w w:val="95"/>
          <w:sz w:val="44"/>
          <w:szCs w:val="44"/>
          <w:lang w:eastAsia="zh-Hans"/>
        </w:rPr>
      </w:pPr>
      <w:bookmarkStart w:id="6" w:name="_Toc20728"/>
      <w:r>
        <w:rPr>
          <w:rFonts w:hint="eastAsia" w:ascii="方正小标宋简体" w:hAnsi="方正小标宋简体" w:eastAsia="方正小标宋简体" w:cs="方正小标宋简体"/>
          <w:b w:val="0"/>
          <w:bCs w:val="0"/>
          <w:spacing w:val="6"/>
          <w:w w:val="95"/>
          <w:sz w:val="44"/>
          <w:szCs w:val="44"/>
          <w:lang w:eastAsia="zh-Hans"/>
        </w:rPr>
        <w:t>关于加强外卖小哥权益保障的建议 </w:t>
      </w:r>
      <w:bookmarkEnd w:id="6"/>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rPr>
          <w:rFonts w:hint="eastAsia" w:ascii="仿宋" w:hAnsi="仿宋" w:eastAsia="仿宋" w:cs="仿宋"/>
          <w:sz w:val="32"/>
          <w:szCs w:val="32"/>
        </w:rPr>
      </w:pPr>
      <w:r>
        <w:rPr>
          <w:rFonts w:hint="eastAsia" w:ascii="仿宋" w:hAnsi="仿宋" w:eastAsia="仿宋" w:cs="仿宋"/>
          <w:b w:val="0"/>
          <w:i w:val="0"/>
          <w:color w:val="151515"/>
          <w:sz w:val="32"/>
          <w:szCs w:val="32"/>
          <w:shd w:val="clear" w:color="auto" w:fill="FFFFFF"/>
          <w:rtl w:val="0"/>
        </w:rPr>
        <w:t>中国目前的外卖配送人员总数突破七百万，杭州更是外卖小哥最青睐的城市之一，特别是</w:t>
      </w:r>
      <w:r>
        <w:rPr>
          <w:rFonts w:hint="eastAsia" w:ascii="仿宋" w:hAnsi="仿宋" w:eastAsia="仿宋" w:cs="仿宋"/>
          <w:sz w:val="32"/>
          <w:szCs w:val="32"/>
          <w:rtl w:val="0"/>
        </w:rPr>
        <w:t>随着目前城市提升，生活节奏加快，叠加疫情因素，人们对餐饮外卖需求日益提升，外卖平台与配送人员的服务积极保障提升了餐饮行业的发展；但在大家享受掌上点餐的便利时，不得不考虑外卖小哥的辛苦与风险，不得不考虑他们的权益保障问题。</w:t>
      </w:r>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tl w:val="0"/>
        </w:rPr>
        <w:t>一、存在的问题</w:t>
      </w:r>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rPr>
          <w:rFonts w:hint="eastAsia" w:ascii="仿宋" w:hAnsi="仿宋" w:eastAsia="仿宋" w:cs="仿宋"/>
          <w:b w:val="0"/>
          <w:i w:val="0"/>
          <w:color w:val="151515"/>
          <w:sz w:val="32"/>
          <w:szCs w:val="32"/>
          <w:shd w:val="clear" w:color="auto" w:fill="FFFFFF"/>
          <w:rtl w:val="0"/>
        </w:rPr>
      </w:pPr>
      <w:r>
        <w:rPr>
          <w:rFonts w:hint="eastAsia" w:ascii="楷体" w:hAnsi="楷体" w:eastAsia="楷体" w:cs="楷体"/>
          <w:b w:val="0"/>
          <w:bCs/>
          <w:sz w:val="32"/>
          <w:szCs w:val="32"/>
          <w:rtl w:val="0"/>
          <w:lang w:eastAsia="zh-CN"/>
        </w:rPr>
        <w:t>（一）</w:t>
      </w:r>
      <w:r>
        <w:rPr>
          <w:rFonts w:hint="eastAsia" w:ascii="楷体" w:hAnsi="楷体" w:eastAsia="楷体" w:cs="楷体"/>
          <w:b w:val="0"/>
          <w:bCs/>
          <w:sz w:val="32"/>
          <w:szCs w:val="32"/>
          <w:rtl w:val="0"/>
        </w:rPr>
        <w:t>劳动关系处于灰色地带。</w:t>
      </w:r>
      <w:r>
        <w:rPr>
          <w:rFonts w:hint="eastAsia" w:ascii="仿宋" w:hAnsi="仿宋" w:eastAsia="仿宋" w:cs="仿宋"/>
          <w:b w:val="0"/>
          <w:i w:val="0"/>
          <w:color w:val="151515"/>
          <w:sz w:val="32"/>
          <w:szCs w:val="32"/>
          <w:shd w:val="clear" w:color="auto" w:fill="FFFFFF"/>
          <w:rtl w:val="0"/>
        </w:rPr>
        <w:t>尽管平台专送骑手和平台之间、卖家自送骑手与卖家之间以及外包骑手与外包公司之间法律关系较为明确,双方属于劳动关系,但是,现实中上述三类送餐员与用人单位之间签订了正式劳动合同者寥寥无几。事实上，平台与众包骑手之间的劳动关系处于不明状态,用工关系不完全符合传统劳动关系的特征,如果将这类网约工纳入劳动法调整,会对传统的劳动关系认定标准带来较大冲突。</w:t>
      </w:r>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rPr>
          <w:rFonts w:hint="eastAsia" w:asciiTheme="minorEastAsia" w:hAnsiTheme="minorEastAsia" w:eastAsiaTheme="minorEastAsia" w:cstheme="minorEastAsia"/>
          <w:sz w:val="32"/>
          <w:szCs w:val="32"/>
        </w:rPr>
      </w:pPr>
      <w:r>
        <w:rPr>
          <w:rFonts w:hint="eastAsia" w:ascii="楷体" w:hAnsi="楷体" w:eastAsia="楷体" w:cs="楷体"/>
          <w:b w:val="0"/>
          <w:bCs/>
          <w:sz w:val="32"/>
          <w:szCs w:val="32"/>
          <w:rtl w:val="0"/>
          <w:lang w:eastAsia="zh-CN"/>
        </w:rPr>
        <w:t>（二）薪酬机制存在显著弊端。</w:t>
      </w:r>
      <w:r>
        <w:rPr>
          <w:rFonts w:hint="eastAsia" w:ascii="仿宋" w:hAnsi="仿宋" w:eastAsia="仿宋" w:cs="仿宋"/>
          <w:b w:val="0"/>
          <w:i w:val="0"/>
          <w:color w:val="151515"/>
          <w:sz w:val="32"/>
          <w:szCs w:val="32"/>
          <w:shd w:val="clear" w:color="auto" w:fill="FFFFFF"/>
          <w:rtl w:val="0"/>
        </w:rPr>
        <w:t>尽管平台会从每日的订单数量、打卡考勤、及时送达率、配送距离等多方因素对骑手进行考评,但差评和用户的投诉是考核外卖送餐员的首要标准。这种过分注重用户好评的薪酬机制的弊处日益显著,给骑手的正当薪酬权益造成了重大影响。行业劳动关系管理等对平台企业约束太少，责任承担太少。</w:t>
      </w:r>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rPr>
          <w:rFonts w:hint="eastAsia" w:ascii="仿宋" w:hAnsi="仿宋" w:eastAsia="仿宋" w:cs="仿宋"/>
          <w:b w:val="0"/>
          <w:i w:val="0"/>
          <w:color w:val="151515"/>
          <w:sz w:val="32"/>
          <w:szCs w:val="32"/>
          <w:shd w:val="clear" w:color="auto" w:fill="FFFFFF"/>
          <w:rtl w:val="0"/>
        </w:rPr>
      </w:pPr>
      <w:r>
        <w:rPr>
          <w:rFonts w:hint="eastAsia" w:ascii="楷体" w:hAnsi="楷体" w:eastAsia="楷体" w:cs="楷体"/>
          <w:b w:val="0"/>
          <w:bCs/>
          <w:sz w:val="32"/>
          <w:szCs w:val="32"/>
          <w:rtl w:val="0"/>
          <w:lang w:eastAsia="zh-CN"/>
        </w:rPr>
        <w:t>（三）人身安全难以得到保障。</w:t>
      </w:r>
      <w:r>
        <w:rPr>
          <w:rFonts w:hint="eastAsia" w:ascii="仿宋" w:hAnsi="仿宋" w:eastAsia="仿宋" w:cs="仿宋"/>
          <w:b w:val="0"/>
          <w:i w:val="0"/>
          <w:color w:val="151515"/>
          <w:sz w:val="32"/>
          <w:szCs w:val="32"/>
          <w:shd w:val="clear" w:color="auto" w:fill="FFFFFF"/>
          <w:rtl w:val="0"/>
        </w:rPr>
        <w:t>目前，骑手们面临比较严苛的考核机制：平台的准时率、客户差评率、提成制等规定令骑手们被迫急行配送，不惜违反交通规则来节省时间。据杭州交警统计，2020年全年，全市共发生涉及外卖行业的亡人交通事故8起，致8人死亡。21年仅其中1个月，杭州交警查处的外卖骑手红灯、逆向行驶、骑快车道等重点交通违法行为51798起，日均1671起。</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left"/>
        <w:textAlignment w:val="auto"/>
        <w:outlineLvl w:val="9"/>
        <w:rPr>
          <w:rFonts w:hint="eastAsia" w:ascii="黑体" w:hAnsi="黑体" w:eastAsia="黑体" w:cs="黑体"/>
          <w:b w:val="0"/>
          <w:bCs w:val="0"/>
          <w:sz w:val="32"/>
          <w:szCs w:val="32"/>
          <w:rtl w:val="0"/>
        </w:rPr>
      </w:pPr>
      <w:r>
        <w:rPr>
          <w:rFonts w:hint="eastAsia" w:ascii="黑体" w:hAnsi="黑体" w:eastAsia="黑体" w:cs="黑体"/>
          <w:b w:val="0"/>
          <w:bCs w:val="0"/>
          <w:sz w:val="32"/>
          <w:szCs w:val="32"/>
          <w:rtl w:val="0"/>
        </w:rPr>
        <w:t> 二、意见建议</w:t>
      </w:r>
    </w:p>
    <w:p>
      <w:pPr>
        <w:keepNext w:val="0"/>
        <w:keepLines w:val="0"/>
        <w:pageBreakBefore w:val="0"/>
        <w:kinsoku/>
        <w:wordWrap/>
        <w:overflowPunct/>
        <w:topLinePunct w:val="0"/>
        <w:autoSpaceDE/>
        <w:autoSpaceDN/>
        <w:bidi w:val="0"/>
        <w:adjustRightInd/>
        <w:snapToGrid/>
        <w:spacing w:afterAutospacing="0" w:line="560" w:lineRule="exact"/>
        <w:ind w:left="0" w:firstLine="640"/>
        <w:jc w:val="left"/>
        <w:textAlignment w:val="auto"/>
        <w:rPr>
          <w:rFonts w:hint="eastAsia" w:ascii="仿宋" w:hAnsi="仿宋" w:eastAsia="仿宋" w:cs="仿宋"/>
          <w:b w:val="0"/>
          <w:i w:val="0"/>
          <w:color w:val="151515"/>
          <w:sz w:val="32"/>
          <w:szCs w:val="32"/>
          <w:shd w:val="clear" w:color="auto" w:fill="FFFFFF"/>
          <w:rtl w:val="0"/>
        </w:rPr>
      </w:pPr>
      <w:r>
        <w:rPr>
          <w:rFonts w:hint="eastAsia" w:ascii="仿宋" w:hAnsi="仿宋" w:eastAsia="仿宋" w:cs="仿宋"/>
          <w:b w:val="0"/>
          <w:i w:val="0"/>
          <w:color w:val="151515"/>
          <w:sz w:val="32"/>
          <w:szCs w:val="32"/>
          <w:shd w:val="clear" w:color="auto" w:fill="FFFFFF"/>
          <w:rtl w:val="0"/>
        </w:rPr>
        <w:t>为保护外卖劳动人员，健康发展外卖行业，提升交通安全，建议坚持以人为本的原则，加强顶层设计，从维护员合法权益的角度，让他们更好地融入城市、服务城市、发展城市，创造美好生活。</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b w:val="0"/>
          <w:bCs/>
          <w:sz w:val="32"/>
          <w:szCs w:val="32"/>
          <w:rtl w:val="0"/>
          <w:lang w:eastAsia="zh-CN"/>
        </w:rPr>
        <w:t>（一）加强劳动权益保障。</w:t>
      </w:r>
      <w:r>
        <w:rPr>
          <w:rFonts w:hint="eastAsia" w:ascii="仿宋" w:hAnsi="仿宋" w:eastAsia="仿宋" w:cs="仿宋"/>
          <w:b w:val="0"/>
          <w:sz w:val="32"/>
          <w:szCs w:val="32"/>
          <w:rtl w:val="0"/>
        </w:rPr>
        <w:t>大部分员没有与所在企业签订劳务合同，有问题时难以按《劳动法》维护权益。社会福利难以享受，很难享受到如廉租房和经济适用房等方面的社会福利。</w:t>
      </w:r>
      <w:r>
        <w:rPr>
          <w:rFonts w:hint="eastAsia" w:ascii="仿宋" w:hAnsi="仿宋" w:eastAsia="仿宋" w:cs="仿宋"/>
          <w:b/>
          <w:sz w:val="32"/>
          <w:szCs w:val="32"/>
          <w:rtl w:val="0"/>
        </w:rPr>
        <w:t>一方面平台要建立相应保障机制。</w:t>
      </w:r>
      <w:r>
        <w:rPr>
          <w:rFonts w:hint="eastAsia" w:ascii="仿宋" w:hAnsi="仿宋" w:eastAsia="仿宋" w:cs="仿宋"/>
          <w:sz w:val="32"/>
          <w:szCs w:val="32"/>
          <w:rtl w:val="0"/>
        </w:rPr>
        <w:t>规范平台企业与骑手的劳动关系，建立底薪、社保等保障条件。</w:t>
      </w:r>
      <w:r>
        <w:rPr>
          <w:rFonts w:hint="eastAsia" w:ascii="仿宋" w:hAnsi="仿宋" w:eastAsia="仿宋" w:cs="仿宋"/>
          <w:b w:val="0"/>
          <w:sz w:val="32"/>
          <w:szCs w:val="32"/>
          <w:rtl w:val="0"/>
        </w:rPr>
        <w:t>建立与工作任务、劳动强度相匹配的收入分配机制，确保外卖送餐员正常劳动所得不低于当地最低工资标准。合理确定订单数量、准时率、在线率等考核要素，适当放宽配送时限。</w:t>
      </w:r>
      <w:r>
        <w:rPr>
          <w:rFonts w:hint="eastAsia" w:ascii="仿宋" w:hAnsi="仿宋" w:eastAsia="仿宋" w:cs="仿宋"/>
          <w:b/>
          <w:sz w:val="32"/>
          <w:szCs w:val="32"/>
          <w:rtl w:val="0"/>
        </w:rPr>
        <w:t>另一方面政府要健全约束监督机制。</w:t>
      </w:r>
      <w:r>
        <w:rPr>
          <w:rFonts w:hint="eastAsia" w:ascii="仿宋" w:hAnsi="仿宋" w:eastAsia="仿宋" w:cs="仿宋"/>
          <w:sz w:val="32"/>
          <w:szCs w:val="32"/>
          <w:rtl w:val="0"/>
        </w:rPr>
        <w:t>建议人事劳动和社会保障部门要制定相应的政策，出台对外卖骑手的管理条例,对送餐员的安全保障问题、工时报酬、社会保险以及争议处理等基本问题进行规定。</w:t>
      </w:r>
      <w:r>
        <w:rPr>
          <w:rFonts w:hint="eastAsia" w:ascii="仿宋" w:hAnsi="仿宋" w:eastAsia="仿宋" w:cs="仿宋"/>
          <w:b w:val="0"/>
          <w:sz w:val="32"/>
          <w:szCs w:val="32"/>
          <w:rtl w:val="0"/>
        </w:rPr>
        <w:t>对发</w:t>
      </w:r>
      <w:r>
        <w:rPr>
          <w:rFonts w:hint="eastAsia" w:ascii="仿宋" w:hAnsi="仿宋" w:eastAsia="仿宋" w:cs="仿宋"/>
          <w:sz w:val="32"/>
          <w:szCs w:val="32"/>
          <w:rtl w:val="0"/>
        </w:rPr>
        <w:t>现薪酬不公平、符合劳动关系却没有签订劳动合同或者没有依法缴纳社会保险费等情形,要依法予以行政处罚。</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Theme="minorEastAsia" w:hAnsiTheme="minorEastAsia" w:eastAsiaTheme="minorEastAsia" w:cstheme="minorEastAsia"/>
          <w:sz w:val="32"/>
          <w:szCs w:val="32"/>
        </w:rPr>
      </w:pPr>
      <w:r>
        <w:rPr>
          <w:rFonts w:hint="eastAsia" w:ascii="楷体" w:hAnsi="楷体" w:eastAsia="楷体" w:cs="楷体"/>
          <w:b w:val="0"/>
          <w:bCs/>
          <w:sz w:val="32"/>
          <w:szCs w:val="32"/>
          <w:rtl w:val="0"/>
          <w:lang w:eastAsia="zh-CN"/>
        </w:rPr>
        <w:t>（二）加强安全权益保障。</w:t>
      </w:r>
      <w:r>
        <w:rPr>
          <w:rFonts w:hint="eastAsia" w:ascii="仿宋" w:hAnsi="仿宋" w:eastAsia="仿宋" w:cs="仿宋"/>
          <w:b/>
          <w:sz w:val="32"/>
          <w:szCs w:val="32"/>
          <w:rtl w:val="0"/>
        </w:rPr>
        <w:t>一是加强交通执法力度。</w:t>
      </w:r>
      <w:r>
        <w:rPr>
          <w:rFonts w:hint="eastAsia" w:ascii="仿宋" w:hAnsi="仿宋" w:eastAsia="仿宋" w:cs="仿宋"/>
          <w:sz w:val="32"/>
          <w:szCs w:val="32"/>
          <w:rtl w:val="0"/>
        </w:rPr>
        <w:t>交通部门出台针对性规定及技术手段，加强对骑手的交通违法处罚力度，如加强视频监控智能执法，记分制规定，扣满12分的将停行多长时间或接受教育考试等，让外卖小哥敬畏交通规则。</w:t>
      </w:r>
      <w:r>
        <w:rPr>
          <w:rFonts w:hint="eastAsia" w:ascii="仿宋" w:hAnsi="仿宋" w:eastAsia="仿宋" w:cs="仿宋"/>
          <w:b/>
          <w:sz w:val="32"/>
          <w:szCs w:val="32"/>
          <w:rtl w:val="0"/>
        </w:rPr>
        <w:t>二是建立安全管理规定。</w:t>
      </w:r>
      <w:r>
        <w:rPr>
          <w:rFonts w:hint="eastAsia" w:ascii="仿宋" w:hAnsi="仿宋" w:eastAsia="仿宋" w:cs="仿宋"/>
          <w:sz w:val="32"/>
          <w:szCs w:val="32"/>
          <w:rtl w:val="0"/>
        </w:rPr>
        <w:t>管理部门要建立对平台企业的安全管理规定，对配送人员的安全管理、教育等内容纳入企业安全评分，同时对配送人员的交通违规扣分承担连带责任，同时要对平台企业扣分，并要扣罚更多的经济处罚，安全不达标或扣分达到限额的将进行停止接单等方式。让平台企业负起主导责任。</w:t>
      </w:r>
      <w:r>
        <w:rPr>
          <w:rFonts w:hint="eastAsia" w:ascii="仿宋" w:hAnsi="仿宋" w:eastAsia="仿宋" w:cs="仿宋"/>
          <w:b/>
          <w:sz w:val="32"/>
          <w:szCs w:val="32"/>
          <w:rtl w:val="0"/>
        </w:rPr>
        <w:t>三是建立责任保险制度。</w:t>
      </w:r>
      <w:r>
        <w:rPr>
          <w:rFonts w:hint="eastAsia" w:ascii="仿宋" w:hAnsi="仿宋" w:eastAsia="仿宋" w:cs="仿宋"/>
          <w:sz w:val="32"/>
          <w:szCs w:val="32"/>
          <w:rtl w:val="0"/>
        </w:rPr>
        <w:t>建议建立新产业新业态从业人员的职业伤害保险制度，针对外卖送餐行业相关数据分析,制定符合行业特点外卖送餐员职业责任保险操作办法。根据送餐员风险状况以及历史赔付记录进行保费浮动调整,设计合理的保险期间;明确投保人和被保险人的基本权 利义务、赔偿限额、争议处理方法等。</w:t>
      </w:r>
      <w:r>
        <w:rPr>
          <w:rFonts w:hint="eastAsia" w:ascii="仿宋" w:hAnsi="仿宋" w:eastAsia="仿宋" w:cs="仿宋"/>
          <w:b/>
          <w:sz w:val="32"/>
          <w:szCs w:val="32"/>
          <w:rtl w:val="0"/>
        </w:rPr>
        <w:t>  </w:t>
      </w:r>
      <w:r>
        <w:rPr>
          <w:rFonts w:hint="eastAsia" w:asciiTheme="minorEastAsia" w:hAnsiTheme="minorEastAsia" w:eastAsiaTheme="minorEastAsia" w:cstheme="minorEastAsia"/>
          <w:b/>
          <w:sz w:val="32"/>
          <w:szCs w:val="32"/>
          <w:rtl w:val="0"/>
        </w:rPr>
        <w:t>  </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b w:val="0"/>
          <w:bCs/>
          <w:sz w:val="32"/>
          <w:szCs w:val="32"/>
          <w:rtl w:val="0"/>
          <w:lang w:eastAsia="zh-CN"/>
        </w:rPr>
        <w:t>（三）提升社会融入度。</w:t>
      </w:r>
      <w:r>
        <w:rPr>
          <w:rFonts w:hint="eastAsia" w:ascii="仿宋" w:hAnsi="仿宋" w:eastAsia="仿宋" w:cs="仿宋"/>
          <w:b/>
          <w:sz w:val="32"/>
          <w:szCs w:val="32"/>
          <w:rtl w:val="0"/>
        </w:rPr>
        <w:t>一方面要组建专门的协会。</w:t>
      </w:r>
      <w:r>
        <w:rPr>
          <w:rFonts w:hint="eastAsia" w:ascii="仿宋" w:hAnsi="仿宋" w:eastAsia="仿宋" w:cs="仿宋"/>
          <w:sz w:val="32"/>
          <w:szCs w:val="32"/>
          <w:rtl w:val="0"/>
        </w:rPr>
        <w:t>这更有利于职业责任保险的顺利推行，协会可以对处于弱势地位的送餐员提供法律上的帮助,增加胜诉可能性、维护本行业群体的利益。制定统一的行业标准，督促和约束企业履行社会主体责任，加强对外卖员职业发展、福利待遇、合法权益等方面的关怀。</w:t>
      </w:r>
      <w:r>
        <w:rPr>
          <w:rFonts w:hint="eastAsia" w:ascii="仿宋" w:hAnsi="仿宋" w:eastAsia="仿宋" w:cs="仿宋"/>
          <w:b/>
          <w:sz w:val="32"/>
          <w:szCs w:val="32"/>
          <w:rtl w:val="0"/>
        </w:rPr>
        <w:t>另一方面要加强荣誉归属感。</w:t>
      </w:r>
      <w:r>
        <w:rPr>
          <w:rFonts w:hint="eastAsia" w:ascii="仿宋" w:hAnsi="仿宋" w:eastAsia="仿宋" w:cs="仿宋"/>
          <w:sz w:val="32"/>
          <w:szCs w:val="32"/>
          <w:rtl w:val="0"/>
        </w:rPr>
        <w:t xml:space="preserve">要增进广大群众对外卖员的理解和包容，提升外卖员的荣誉感和归属感。建议人事劳动和社会保障部门要加强对外卖行业的职业培训引导，让外卖行业成为有希望的新兴职业。 </w:t>
      </w:r>
    </w:p>
    <w:p>
      <w:r>
        <w:br w:type="page"/>
      </w:r>
    </w:p>
    <w:p>
      <w:pPr>
        <w:pStyle w:val="3"/>
        <w:spacing w:before="0" w:after="0" w:line="550" w:lineRule="exact"/>
        <w:jc w:val="center"/>
        <w:outlineLvl w:val="0"/>
        <w:rPr>
          <w:rFonts w:hint="default" w:ascii="方正小标宋简体" w:hAnsi="方正小标宋简体" w:eastAsia="方正小标宋简体" w:cs="方正小标宋简体"/>
          <w:b w:val="0"/>
          <w:bCs w:val="0"/>
          <w:spacing w:val="6"/>
          <w:w w:val="95"/>
          <w:sz w:val="44"/>
          <w:szCs w:val="44"/>
          <w:lang w:val="en-US" w:eastAsia="zh-CN"/>
        </w:rPr>
      </w:pPr>
      <w:bookmarkStart w:id="7" w:name="_Toc13523"/>
      <w:r>
        <w:rPr>
          <w:rFonts w:hint="eastAsia" w:ascii="方正小标宋简体" w:hAnsi="方正小标宋简体" w:eastAsia="方正小标宋简体" w:cs="方正小标宋简体"/>
          <w:b w:val="0"/>
          <w:bCs w:val="0"/>
          <w:spacing w:val="6"/>
          <w:w w:val="95"/>
          <w:sz w:val="44"/>
          <w:szCs w:val="44"/>
          <w:lang w:val="en-US" w:eastAsia="zh-CN"/>
        </w:rPr>
        <w:t>钱塘区各单位分</w:t>
      </w:r>
      <w:bookmarkStart w:id="8" w:name="_GoBack"/>
      <w:bookmarkEnd w:id="8"/>
      <w:r>
        <w:rPr>
          <w:rFonts w:hint="eastAsia" w:ascii="方正小标宋简体" w:hAnsi="方正小标宋简体" w:eastAsia="方正小标宋简体" w:cs="方正小标宋简体"/>
          <w:b w:val="0"/>
          <w:bCs w:val="0"/>
          <w:spacing w:val="6"/>
          <w:w w:val="95"/>
          <w:sz w:val="44"/>
          <w:szCs w:val="44"/>
          <w:lang w:val="en-US" w:eastAsia="zh-CN"/>
        </w:rPr>
        <w:t>管领导、联系人名单</w:t>
      </w:r>
      <w:bookmarkEnd w:id="7"/>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iCs w:val="0"/>
          <w:color w:val="000000"/>
          <w:kern w:val="0"/>
          <w:sz w:val="44"/>
          <w:szCs w:val="44"/>
          <w:u w:val="none"/>
          <w:lang w:val="en-US" w:eastAsia="zh-CN" w:bidi="ar"/>
        </w:rPr>
      </w:pP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637"/>
        <w:gridCol w:w="1195"/>
        <w:gridCol w:w="1426"/>
        <w:gridCol w:w="1177"/>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单位</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分管领导</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分管领导</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电话</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联系人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lang w:eastAsia="zh-CN"/>
              </w:rPr>
            </w:pPr>
            <w:r>
              <w:rPr>
                <w:rFonts w:hint="eastAsia" w:ascii="黑体" w:hAnsi="黑体" w:eastAsia="黑体" w:cs="黑体"/>
                <w:b w:val="0"/>
                <w:bCs w:val="0"/>
                <w:i w:val="0"/>
                <w:iCs w:val="0"/>
                <w:color w:val="000000"/>
                <w:sz w:val="22"/>
                <w:szCs w:val="22"/>
                <w:u w:val="none"/>
                <w:lang w:eastAsia="zh-CN"/>
              </w:rPr>
              <w:t>联系人</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lang w:eastAsia="zh-CN"/>
              </w:rPr>
            </w:pPr>
            <w:r>
              <w:rPr>
                <w:rFonts w:hint="eastAsia" w:ascii="黑体" w:hAnsi="黑体" w:eastAsia="黑体" w:cs="黑体"/>
                <w:b w:val="0"/>
                <w:bCs w:val="0"/>
                <w:i w:val="0"/>
                <w:iCs w:val="0"/>
                <w:color w:val="000000"/>
                <w:sz w:val="22"/>
                <w:szCs w:val="22"/>
                <w:u w:val="none"/>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区纪委区监委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潘晓敏</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13750811100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18814846008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区委宣传部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李霞</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13819107812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蒋奇超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15757115856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区委统战部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金驰宇</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15869126699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李俊</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13735430087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区委政法委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陆兴元</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13738126081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17857003829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区委改革（数改）专班</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黄文贵</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15858261633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丁晓波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13989819290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区委巡察办</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汪文斌</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13989814973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任小芳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13567188435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区法院</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陈慧军</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15088641817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田文平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15968849892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区检察院</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吴国刚</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13758180218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李雪蕾</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13588398782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区发展改革局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李亚军</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13606509621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黄菲</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18758056283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区经信科技局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许宏波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13372528098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俞建龙</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13716167276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区教育局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江志明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13588499292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夏天马</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18806519119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区公安分局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潘亮亮</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13735432033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潘坪</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13588420298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区司法局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陈建楚</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18057120815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邵海洋</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13252261503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区财政局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汤波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13732276060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胡雪利</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13567113026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区人社局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13957190067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15088604580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区住建局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李军纪</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13750813511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罗依莲</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15088670526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区交通运输局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李典顺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13757169878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胡金星</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13958198566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区农业农村局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翁洪伟</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13777424160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梅仁爱</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13605706910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区商务局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13857191582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王翡硕</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18969955912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区社会发展局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罗勉</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13819122168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马丽莉</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13989461005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区卫生健康局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王燕平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15988827818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殷俊杰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13732272518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区退役军人事务局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方新建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18668196969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钱莹颖</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18868018070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区应急管理局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刘国建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13588798478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胡佳艳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15267036623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区审计局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翁志清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13906819099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于晓文</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18668095897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区市场监督管理局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黄雄伟</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13819123002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李蒙娜</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18368864708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区行政审批局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孙伟</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18657150926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俞丹</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13588270425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区统计局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邵勤华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15888801126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辛杰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13588810225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区综合行政执法局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汤灵峰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13906508538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柯荣</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13857196716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市规划资源局钱塘分局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王永波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13777556869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苗婧</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13758227040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市生态环境局钱塘分局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李希芝</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13706508029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楼国强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13806506014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区总工会</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章国民</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13958130641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徐霞丽</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15869009881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团区委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15168215770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孙伟婷</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15868804660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区妇联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徐伟英</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13605802330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赵丹洋</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13588226917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区工商联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封金东</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18758166780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王敏锋</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18757125111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区社科联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於振洪</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18072986071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李建峰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13606535603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区残联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陆建国</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13362152808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李少爽</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17815702759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区科协</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李田忠</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18958130110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郭帅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13516824664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区文联</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沈小玲</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15258882002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朱振东</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13867168916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东部湾新城指挥部</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邵明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13857118977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葛小峰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13958036098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区重大交通项目办</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徐文骁</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13588875533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朱英梅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13967125715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区“五大市场”办</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润云峰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13336059519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虞晓峰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13758180351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区建投集团</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秦广怡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13757189988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13605713310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区产业集团</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金宏波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13777592936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梁益萍</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13666604020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区城发集团</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杜益南</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13616711171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陆雯怡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15067123042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医药港管理办公室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袁围</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17857987963</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周永存</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19817169980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大创小镇管理办公室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陆贤超</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15869126812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易晨曦</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13588452125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综合保税区管理办公室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周郑宇</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13646816834</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徐阳彪</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13588837194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钱塘芯谷管理办公室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魏旻</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13858105116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张斯琳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15504409945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临江高科园管理办公室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孙浩</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13958184517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刘海涛</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13588768632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前进智造园管理办公室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潘懿</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13588017696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周珂</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13516720056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江海之城建设管理办公室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高志强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13967101736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吴燕</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13738106679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科学城管理办公室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韩翠华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13857191856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王婧</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15869152406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美丽云城管理办公室</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王佳杭</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13868037352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徐艺珍</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13685758101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下沙街道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郁竣耀</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13858136818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田奕灵</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18258805075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白杨街道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胡瑾</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13867141567</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姜辉</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15990044860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河庄街道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徐建伟</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13867120606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潘兴波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15068166296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义蓬街道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钱玲</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13738134370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包益萍</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15306716266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新湾街道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高红鸣</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13758157858</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李继初</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13655718865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临江街道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谢小燕</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13588255656</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郭靖</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15858277717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前进街道</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倪国锋</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13567119789</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李亚</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13588494092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区税务局</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陈建新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13805752532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项振宇</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13967120672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区消防救援大队</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何环飞</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13989484550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周易</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18258880550</w:t>
            </w:r>
          </w:p>
        </w:tc>
      </w:tr>
    </w:tbl>
    <w:p>
      <w:pPr>
        <w:rPr>
          <w:rFonts w:hint="eastAsia"/>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ODVjOWU4ODQ2NTA3Y2I5ZGY0MjA5M2I4Y2JkOWUifQ=="/>
  </w:docVars>
  <w:rsids>
    <w:rsidRoot w:val="6BBD60ED"/>
    <w:rsid w:val="00394FE8"/>
    <w:rsid w:val="004311C4"/>
    <w:rsid w:val="004C7E95"/>
    <w:rsid w:val="00690C9B"/>
    <w:rsid w:val="0099384A"/>
    <w:rsid w:val="00AE6FA4"/>
    <w:rsid w:val="00B85FEC"/>
    <w:rsid w:val="00DE22DB"/>
    <w:rsid w:val="00FA3D8C"/>
    <w:rsid w:val="010E2C71"/>
    <w:rsid w:val="02F96821"/>
    <w:rsid w:val="05EF29F0"/>
    <w:rsid w:val="0F6954F2"/>
    <w:rsid w:val="107A53D2"/>
    <w:rsid w:val="13D536E7"/>
    <w:rsid w:val="20347124"/>
    <w:rsid w:val="25D043BC"/>
    <w:rsid w:val="2D723768"/>
    <w:rsid w:val="2EB5700B"/>
    <w:rsid w:val="34681985"/>
    <w:rsid w:val="3CA272E4"/>
    <w:rsid w:val="3FC7D8C8"/>
    <w:rsid w:val="401E584A"/>
    <w:rsid w:val="48881BD6"/>
    <w:rsid w:val="4DEF2009"/>
    <w:rsid w:val="4E3B97E2"/>
    <w:rsid w:val="5448102C"/>
    <w:rsid w:val="55253A96"/>
    <w:rsid w:val="577B3F4D"/>
    <w:rsid w:val="57EF3293"/>
    <w:rsid w:val="59CF01DB"/>
    <w:rsid w:val="5E5945B0"/>
    <w:rsid w:val="5FDA5B41"/>
    <w:rsid w:val="69C6617D"/>
    <w:rsid w:val="6BBD60ED"/>
    <w:rsid w:val="6DE77139"/>
    <w:rsid w:val="6F4F0E36"/>
    <w:rsid w:val="6FED3D79"/>
    <w:rsid w:val="7225E43A"/>
    <w:rsid w:val="7BB77090"/>
    <w:rsid w:val="7FAC7ABF"/>
    <w:rsid w:val="9BCF6D16"/>
    <w:rsid w:val="BFBEF96E"/>
    <w:rsid w:val="C9D73869"/>
    <w:rsid w:val="CAFDF339"/>
    <w:rsid w:val="D9FF067E"/>
    <w:rsid w:val="E7BEC004"/>
    <w:rsid w:val="EAFEC2F9"/>
    <w:rsid w:val="EEFEE953"/>
    <w:rsid w:val="EFBFCE21"/>
    <w:rsid w:val="F7FF3716"/>
    <w:rsid w:val="F9DE780E"/>
    <w:rsid w:val="FADBE996"/>
    <w:rsid w:val="FEFDF02E"/>
    <w:rsid w:val="FFBD6D70"/>
    <w:rsid w:val="FFEF3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rPr>
  </w:style>
  <w:style w:type="paragraph" w:styleId="5">
    <w:name w:val="Body Text"/>
    <w:basedOn w:val="1"/>
    <w:next w:val="6"/>
    <w:qFormat/>
    <w:uiPriority w:val="0"/>
    <w:pPr>
      <w:spacing w:after="120"/>
      <w:jc w:val="left"/>
    </w:pPr>
    <w:rPr>
      <w:rFonts w:eastAsia="仿宋_GB2312"/>
      <w:sz w:val="32"/>
    </w:rPr>
  </w:style>
  <w:style w:type="paragraph" w:styleId="6">
    <w:name w:val="Body Text First Indent"/>
    <w:basedOn w:val="5"/>
    <w:next w:val="1"/>
    <w:qFormat/>
    <w:uiPriority w:val="0"/>
    <w:pPr>
      <w:spacing w:line="560" w:lineRule="exact"/>
      <w:ind w:firstLine="420" w:firstLineChars="100"/>
    </w:pPr>
  </w:style>
  <w:style w:type="paragraph" w:styleId="7">
    <w:name w:val="Body Text Indent"/>
    <w:basedOn w:val="1"/>
    <w:next w:val="4"/>
    <w:qFormat/>
    <w:uiPriority w:val="0"/>
    <w:pPr>
      <w:spacing w:line="360" w:lineRule="auto"/>
      <w:ind w:firstLine="612"/>
    </w:pPr>
    <w:rPr>
      <w:rFonts w:ascii="仿宋_GB2312" w:eastAsia="仿宋_GB2312"/>
    </w:rPr>
  </w:style>
  <w:style w:type="paragraph" w:styleId="8">
    <w:name w:val="endnote text"/>
    <w:basedOn w:val="1"/>
    <w:semiHidden/>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Subtitle"/>
    <w:basedOn w:val="1"/>
    <w:next w:val="1"/>
    <w:qFormat/>
    <w:uiPriority w:val="0"/>
    <w:pPr>
      <w:spacing w:before="240" w:after="60"/>
      <w:outlineLvl w:val="1"/>
    </w:pPr>
    <w:rPr>
      <w:rFonts w:ascii="Cambria" w:hAnsi="Cambria" w:cs="Cambria"/>
      <w:b/>
      <w:bCs/>
      <w:kern w:val="28"/>
    </w:rPr>
  </w:style>
  <w:style w:type="paragraph" w:styleId="13">
    <w:name w:val="Normal (Web)"/>
    <w:basedOn w:val="1"/>
    <w:qFormat/>
    <w:uiPriority w:val="0"/>
    <w:rPr>
      <w:sz w:val="24"/>
    </w:rPr>
  </w:style>
  <w:style w:type="paragraph" w:styleId="14">
    <w:name w:val="Body Text First Indent 2"/>
    <w:basedOn w:val="7"/>
    <w:next w:val="7"/>
    <w:qFormat/>
    <w:uiPriority w:val="0"/>
    <w:pPr>
      <w:ind w:firstLine="420" w:firstLineChars="200"/>
    </w:pPr>
  </w:style>
  <w:style w:type="paragraph" w:customStyle="1" w:styleId="17">
    <w:name w:val="BodyText1I2"/>
    <w:basedOn w:val="18"/>
    <w:qFormat/>
    <w:uiPriority w:val="0"/>
    <w:pPr>
      <w:widowControl/>
      <w:spacing w:before="100" w:beforeAutospacing="1" w:after="100" w:afterAutospacing="1"/>
      <w:ind w:firstLine="420"/>
      <w:jc w:val="left"/>
    </w:pPr>
    <w:rPr>
      <w:rFonts w:ascii="宋体" w:hAnsi="宋体"/>
      <w:kern w:val="0"/>
    </w:rPr>
  </w:style>
  <w:style w:type="paragraph" w:customStyle="1" w:styleId="18">
    <w:name w:val="BodyTextIndent"/>
    <w:basedOn w:val="1"/>
    <w:qFormat/>
    <w:uiPriority w:val="0"/>
    <w:pPr>
      <w:spacing w:line="540" w:lineRule="exact"/>
      <w:ind w:firstLine="640" w:firstLineChars="200"/>
      <w:textAlignment w:val="baseline"/>
    </w:pPr>
    <w:rPr>
      <w:rFonts w:ascii="仿宋_GB2312" w:eastAsia="仿宋_GB2312"/>
      <w:sz w:val="32"/>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 w:type="character" w:customStyle="1" w:styleId="20">
    <w:name w:val="NormalCharacter"/>
    <w:qFormat/>
    <w:uiPriority w:val="0"/>
    <w:rPr>
      <w:rFonts w:ascii="Calibri" w:hAnsi="Calibri" w:eastAsia="宋体"/>
      <w:kern w:val="2"/>
      <w:sz w:val="22"/>
      <w:lang w:val="en-US" w:eastAsia="zh-CN"/>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24391</Words>
  <Characters>26372</Characters>
  <Lines>8</Lines>
  <Paragraphs>2</Paragraphs>
  <TotalTime>1</TotalTime>
  <ScaleCrop>false</ScaleCrop>
  <LinksUpToDate>false</LinksUpToDate>
  <CharactersWithSpaces>26460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2022-08-08T17:23:00Z</dcterms:created>
  <dc:creator>mao</dc:creator>
  <cp:lastModifiedBy>火火</cp:lastModifiedBy>
  <cp:lastPrinted>2023-05-16T09:09:00Z</cp:lastPrinted>
  <dcterms:modified xsi:type="dcterms:W3CDTF">2023-06-22T08:13:19Z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E86EC45737BB781A2341DA631B4C5721</vt:lpwstr>
  </property>
</Properties>
</file>